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spacing w:line="360" w:lineRule="auto"/>
        <w:jc w:val="center"/>
        <w:rPr>
          <w:b/>
          <w:sz w:val="48"/>
          <w:szCs w:val="48"/>
        </w:rPr>
      </w:pPr>
      <w:r>
        <w:rPr>
          <w:rFonts w:hint="eastAsia"/>
          <w:b/>
          <w:sz w:val="48"/>
          <w:szCs w:val="48"/>
        </w:rPr>
        <w:t>制定</w:t>
      </w:r>
      <w:r>
        <w:rPr>
          <w:b/>
          <w:sz w:val="48"/>
          <w:szCs w:val="48"/>
        </w:rPr>
        <w:t>《</w:t>
      </w:r>
      <w:r>
        <w:rPr>
          <w:rFonts w:hint="eastAsia"/>
          <w:b/>
          <w:sz w:val="48"/>
          <w:szCs w:val="48"/>
        </w:rPr>
        <w:t>钠离子电池用</w:t>
      </w:r>
      <w:r>
        <w:rPr>
          <w:rFonts w:hint="eastAsia"/>
          <w:b/>
          <w:sz w:val="48"/>
          <w:szCs w:val="48"/>
          <w:lang w:val="en-US" w:eastAsia="zh-CN"/>
        </w:rPr>
        <w:t>铜</w:t>
      </w:r>
      <w:r>
        <w:rPr>
          <w:rFonts w:hint="eastAsia"/>
          <w:b/>
          <w:sz w:val="48"/>
          <w:szCs w:val="48"/>
        </w:rPr>
        <w:t>铁锰酸钠</w:t>
      </w:r>
      <w:r>
        <w:rPr>
          <w:b/>
          <w:sz w:val="48"/>
          <w:szCs w:val="48"/>
        </w:rPr>
        <w:t>》</w:t>
      </w:r>
    </w:p>
    <w:p>
      <w:pPr>
        <w:spacing w:line="360" w:lineRule="auto"/>
        <w:jc w:val="center"/>
        <w:rPr>
          <w:b/>
          <w:sz w:val="48"/>
          <w:szCs w:val="48"/>
        </w:rPr>
      </w:pPr>
      <w:r>
        <w:rPr>
          <w:rFonts w:hint="eastAsia"/>
          <w:b/>
          <w:sz w:val="48"/>
          <w:szCs w:val="48"/>
        </w:rPr>
        <w:t>化工行业标准</w:t>
      </w:r>
    </w:p>
    <w:p>
      <w:pPr>
        <w:ind w:left="720"/>
        <w:contextualSpacing/>
        <w:jc w:val="center"/>
        <w:rPr>
          <w:szCs w:val="22"/>
        </w:rPr>
      </w:pPr>
    </w:p>
    <w:p>
      <w:pPr>
        <w:ind w:left="720"/>
        <w:contextualSpacing/>
        <w:jc w:val="center"/>
        <w:rPr>
          <w:szCs w:val="22"/>
        </w:rPr>
      </w:pPr>
    </w:p>
    <w:p>
      <w:pPr>
        <w:ind w:left="720"/>
        <w:contextualSpacing/>
        <w:jc w:val="center"/>
        <w:rPr>
          <w:szCs w:val="22"/>
        </w:rPr>
      </w:pPr>
    </w:p>
    <w:p>
      <w:pPr>
        <w:spacing w:line="360" w:lineRule="auto"/>
        <w:jc w:val="center"/>
        <w:rPr>
          <w:b/>
          <w:sz w:val="56"/>
          <w:szCs w:val="48"/>
        </w:rPr>
      </w:pPr>
      <w:r>
        <w:rPr>
          <w:b/>
          <w:sz w:val="56"/>
          <w:szCs w:val="48"/>
        </w:rPr>
        <w:t>编制说明</w:t>
      </w:r>
    </w:p>
    <w:p>
      <w:pPr>
        <w:jc w:val="center"/>
        <w:rPr>
          <w:szCs w:val="22"/>
        </w:rPr>
      </w:pPr>
    </w:p>
    <w:p>
      <w:pPr>
        <w:ind w:left="720"/>
        <w:contextualSpacing/>
        <w:jc w:val="center"/>
        <w:rPr>
          <w:szCs w:val="22"/>
        </w:rPr>
      </w:pPr>
    </w:p>
    <w:p>
      <w:pPr>
        <w:jc w:val="center"/>
        <w:rPr>
          <w:b/>
          <w:sz w:val="28"/>
          <w:szCs w:val="28"/>
        </w:rPr>
      </w:pPr>
      <w:r>
        <w:rPr>
          <w:b/>
          <w:sz w:val="28"/>
          <w:szCs w:val="28"/>
        </w:rPr>
        <w:t>（</w:t>
      </w:r>
      <w:r>
        <w:rPr>
          <w:rFonts w:hint="eastAsia"/>
          <w:b/>
          <w:sz w:val="28"/>
          <w:szCs w:val="28"/>
        </w:rPr>
        <w:t>征求意见</w:t>
      </w:r>
      <w:r>
        <w:rPr>
          <w:b/>
          <w:sz w:val="28"/>
          <w:szCs w:val="28"/>
        </w:rPr>
        <w:t>稿）</w:t>
      </w:r>
    </w:p>
    <w:p>
      <w:pPr>
        <w:jc w:val="center"/>
        <w:rPr>
          <w:szCs w:val="22"/>
        </w:rPr>
      </w:pPr>
    </w:p>
    <w:p>
      <w:pPr>
        <w:jc w:val="center"/>
        <w:rPr>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jc w:val="center"/>
        <w:rPr>
          <w:szCs w:val="22"/>
        </w:rPr>
      </w:pPr>
    </w:p>
    <w:p>
      <w:pPr>
        <w:pStyle w:val="2"/>
        <w:rPr>
          <w:szCs w:val="22"/>
        </w:rPr>
      </w:pPr>
    </w:p>
    <w:p>
      <w:pPr>
        <w:pStyle w:val="2"/>
        <w:rPr>
          <w:szCs w:val="22"/>
        </w:rPr>
      </w:pPr>
    </w:p>
    <w:p>
      <w:pPr>
        <w:pStyle w:val="2"/>
        <w:rPr>
          <w:szCs w:val="22"/>
        </w:rPr>
      </w:pPr>
    </w:p>
    <w:p>
      <w:pPr>
        <w:pStyle w:val="2"/>
        <w:rPr>
          <w:szCs w:val="22"/>
        </w:rPr>
      </w:pPr>
    </w:p>
    <w:p>
      <w:pPr>
        <w:pStyle w:val="2"/>
        <w:rPr>
          <w:szCs w:val="22"/>
        </w:rPr>
      </w:pPr>
    </w:p>
    <w:p>
      <w:pPr>
        <w:pStyle w:val="2"/>
        <w:rPr>
          <w:szCs w:val="22"/>
        </w:rPr>
      </w:pPr>
    </w:p>
    <w:p>
      <w:pPr>
        <w:pStyle w:val="2"/>
        <w:rPr>
          <w:szCs w:val="22"/>
        </w:rPr>
      </w:pPr>
    </w:p>
    <w:p>
      <w:pPr>
        <w:jc w:val="center"/>
        <w:rPr>
          <w:szCs w:val="22"/>
        </w:rPr>
      </w:pPr>
    </w:p>
    <w:p>
      <w:pPr>
        <w:spacing w:line="360" w:lineRule="auto"/>
        <w:jc w:val="center"/>
        <w:rPr>
          <w:rFonts w:ascii="Calibri" w:hAnsi="Calibri"/>
          <w:b/>
          <w:sz w:val="32"/>
          <w:szCs w:val="22"/>
        </w:rPr>
      </w:pPr>
      <w:r>
        <w:rPr>
          <w:rFonts w:ascii="Calibri" w:hAnsi="Calibri"/>
          <w:b/>
          <w:sz w:val="32"/>
          <w:szCs w:val="22"/>
        </w:rPr>
        <w:t>《</w:t>
      </w:r>
      <w:r>
        <w:rPr>
          <w:rFonts w:hint="eastAsia" w:ascii="Calibri" w:hAnsi="Calibri"/>
          <w:b/>
          <w:sz w:val="32"/>
          <w:szCs w:val="22"/>
        </w:rPr>
        <w:t>钠离子电池用</w:t>
      </w:r>
      <w:r>
        <w:rPr>
          <w:rFonts w:hint="eastAsia" w:ascii="Calibri" w:hAnsi="Calibri"/>
          <w:b/>
          <w:sz w:val="32"/>
          <w:szCs w:val="22"/>
          <w:lang w:val="en-US" w:eastAsia="zh-CN"/>
        </w:rPr>
        <w:t>铜</w:t>
      </w:r>
      <w:r>
        <w:rPr>
          <w:rFonts w:hint="eastAsia" w:ascii="Calibri" w:hAnsi="Calibri"/>
          <w:b/>
          <w:sz w:val="32"/>
          <w:szCs w:val="22"/>
        </w:rPr>
        <w:t>铁锰酸钠</w:t>
      </w:r>
      <w:r>
        <w:rPr>
          <w:rFonts w:ascii="Calibri" w:hAnsi="Calibri"/>
          <w:b/>
          <w:sz w:val="32"/>
          <w:szCs w:val="22"/>
        </w:rPr>
        <w:t>》</w:t>
      </w:r>
      <w:r>
        <w:rPr>
          <w:rFonts w:hint="eastAsia" w:ascii="Calibri" w:hAnsi="Calibri"/>
          <w:b/>
          <w:sz w:val="32"/>
          <w:szCs w:val="22"/>
        </w:rPr>
        <w:t>起草小</w:t>
      </w:r>
      <w:r>
        <w:rPr>
          <w:rFonts w:ascii="Calibri" w:hAnsi="Calibri"/>
          <w:b/>
          <w:sz w:val="32"/>
          <w:szCs w:val="22"/>
        </w:rPr>
        <w:t>组</w:t>
      </w:r>
    </w:p>
    <w:p>
      <w:pPr>
        <w:jc w:val="center"/>
        <w:rPr>
          <w:b/>
          <w:sz w:val="32"/>
          <w:szCs w:val="32"/>
        </w:rPr>
      </w:pPr>
    </w:p>
    <w:p>
      <w:pPr>
        <w:jc w:val="center"/>
        <w:rPr>
          <w:b/>
          <w:sz w:val="32"/>
          <w:szCs w:val="32"/>
        </w:rPr>
        <w:sectPr>
          <w:footerReference r:id="rId5" w:type="first"/>
          <w:footerReference r:id="rId3" w:type="default"/>
          <w:footerReference r:id="rId4" w:type="even"/>
          <w:pgSz w:w="11906" w:h="16838"/>
          <w:pgMar w:top="3540" w:right="1800" w:bottom="1440" w:left="1800" w:header="851" w:footer="992" w:gutter="0"/>
          <w:pgNumType w:start="0"/>
          <w:cols w:space="425" w:num="1"/>
          <w:docGrid w:type="lines" w:linePitch="312" w:charSpace="0"/>
        </w:sectPr>
      </w:pPr>
      <w:r>
        <w:rPr>
          <w:b/>
          <w:sz w:val="32"/>
          <w:szCs w:val="32"/>
        </w:rPr>
        <w:t>202</w:t>
      </w:r>
      <w:r>
        <w:rPr>
          <w:rFonts w:hint="eastAsia"/>
          <w:b/>
          <w:sz w:val="32"/>
          <w:szCs w:val="32"/>
        </w:rPr>
        <w:t>5</w:t>
      </w:r>
      <w:r>
        <w:rPr>
          <w:b/>
          <w:sz w:val="32"/>
          <w:szCs w:val="32"/>
        </w:rPr>
        <w:t>年</w:t>
      </w:r>
      <w:r>
        <w:rPr>
          <w:rFonts w:hint="eastAsia"/>
          <w:b/>
          <w:sz w:val="32"/>
          <w:szCs w:val="32"/>
        </w:rPr>
        <w:t>4月</w:t>
      </w:r>
    </w:p>
    <w:p>
      <w:pPr>
        <w:pStyle w:val="47"/>
        <w:numPr>
          <w:ilvl w:val="0"/>
          <w:numId w:val="0"/>
        </w:numPr>
        <w:tabs>
          <w:tab w:val="clear" w:pos="2100"/>
        </w:tabs>
        <w:ind w:left="0" w:leftChars="0" w:firstLine="0" w:firstLineChars="0"/>
        <w:jc w:val="center"/>
        <w:rPr>
          <w:rFonts w:hint="eastAsia"/>
          <w:sz w:val="28"/>
          <w:szCs w:val="28"/>
        </w:rPr>
      </w:pPr>
      <w:r>
        <w:rPr>
          <w:rFonts w:hint="eastAsia"/>
          <w:sz w:val="28"/>
          <w:szCs w:val="28"/>
        </w:rPr>
        <w:t>制定《</w:t>
      </w:r>
      <w:r>
        <w:rPr>
          <w:rFonts w:hint="eastAsia"/>
          <w:sz w:val="28"/>
          <w:szCs w:val="28"/>
          <w:lang w:val="en-US" w:eastAsia="zh-CN"/>
        </w:rPr>
        <w:t>钠离子电池用铜铁锰酸钠</w:t>
      </w:r>
      <w:r>
        <w:rPr>
          <w:rFonts w:hint="eastAsia"/>
          <w:sz w:val="28"/>
          <w:szCs w:val="28"/>
        </w:rPr>
        <w:t>》化工行业标准编制说明</w:t>
      </w:r>
    </w:p>
    <w:p>
      <w:pPr>
        <w:spacing w:line="288" w:lineRule="auto"/>
        <w:ind w:left="0" w:leftChars="0" w:firstLine="0" w:firstLineChars="0"/>
        <w:jc w:val="center"/>
        <w:rPr>
          <w:rFonts w:hint="eastAsia" w:ascii="宋体" w:hAnsi="宋体" w:cs="宋体"/>
          <w:sz w:val="21"/>
          <w:szCs w:val="21"/>
        </w:rPr>
      </w:pPr>
      <w:r>
        <w:rPr>
          <w:rFonts w:hint="eastAsia" w:ascii="宋体" w:hAnsi="宋体" w:cs="宋体"/>
          <w:sz w:val="21"/>
          <w:szCs w:val="21"/>
        </w:rPr>
        <w:t>（</w:t>
      </w:r>
      <w:r>
        <w:rPr>
          <w:rFonts w:hint="eastAsia" w:ascii="宋体" w:hAnsi="宋体" w:cs="宋体"/>
          <w:sz w:val="21"/>
          <w:szCs w:val="21"/>
          <w:lang w:val="en-US" w:eastAsia="zh-CN"/>
        </w:rPr>
        <w:t>征求意见</w:t>
      </w:r>
      <w:r>
        <w:rPr>
          <w:rFonts w:hint="eastAsia" w:ascii="宋体" w:hAnsi="宋体" w:cs="宋体"/>
          <w:sz w:val="21"/>
          <w:szCs w:val="21"/>
        </w:rPr>
        <w:t>稿）</w:t>
      </w:r>
    </w:p>
    <w:p>
      <w:pPr>
        <w:keepNext w:val="0"/>
        <w:keepLines w:val="0"/>
        <w:pageBreakBefore w:val="0"/>
        <w:numPr>
          <w:ilvl w:val="0"/>
          <w:numId w:val="3"/>
        </w:numPr>
        <w:kinsoku/>
        <w:wordWrap/>
        <w:overflowPunct/>
        <w:topLinePunct w:val="0"/>
        <w:bidi w:val="0"/>
        <w:adjustRightInd/>
        <w:spacing w:before="156" w:beforeLines="50" w:after="156" w:afterLines="50" w:line="360" w:lineRule="exact"/>
        <w:ind w:firstLine="0"/>
        <w:rPr>
          <w:rFonts w:hint="eastAsia" w:ascii="黑体" w:hAnsi="宋体" w:eastAsia="黑体"/>
        </w:rPr>
      </w:pPr>
      <w:r>
        <w:rPr>
          <w:rFonts w:hint="eastAsia" w:ascii="黑体" w:hAnsi="宋体" w:eastAsia="黑体"/>
        </w:rPr>
        <w:t>工作简况</w:t>
      </w:r>
    </w:p>
    <w:p>
      <w:pPr>
        <w:keepNext w:val="0"/>
        <w:keepLines w:val="0"/>
        <w:pageBreakBefore w:val="0"/>
        <w:numPr>
          <w:ilvl w:val="0"/>
          <w:numId w:val="4"/>
        </w:numPr>
        <w:kinsoku/>
        <w:wordWrap/>
        <w:overflowPunct/>
        <w:topLinePunct w:val="0"/>
        <w:bidi w:val="0"/>
        <w:adjustRightInd/>
        <w:spacing w:before="78" w:beforeLines="25" w:after="78" w:afterLines="25" w:line="360" w:lineRule="exact"/>
        <w:ind w:left="567" w:hanging="567"/>
        <w:rPr>
          <w:rFonts w:hint="eastAsia" w:ascii="黑体" w:hAnsi="宋体" w:eastAsia="黑体" w:cs="Times New Roman"/>
          <w:szCs w:val="24"/>
        </w:rPr>
      </w:pPr>
      <w:r>
        <w:rPr>
          <w:rFonts w:hint="eastAsia" w:ascii="黑体" w:hAnsi="宋体" w:eastAsia="黑体" w:cs="Times New Roman"/>
          <w:szCs w:val="24"/>
        </w:rPr>
        <w:t>任务来源</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 xml:space="preserve"> </w:t>
      </w:r>
      <w:r>
        <w:rPr>
          <w:rFonts w:ascii="黑体" w:hAnsi="宋体" w:eastAsia="黑体"/>
        </w:rPr>
        <w:t xml:space="preserve">   1</w:t>
      </w:r>
      <w:r>
        <w:rPr>
          <w:rFonts w:hint="eastAsia" w:ascii="黑体" w:hAnsi="宋体" w:eastAsia="黑体"/>
        </w:rPr>
        <w:t>、基本信息</w:t>
      </w:r>
    </w:p>
    <w:p>
      <w:pPr>
        <w:keepNext w:val="0"/>
        <w:keepLines w:val="0"/>
        <w:pageBreakBefore w:val="0"/>
        <w:kinsoku/>
        <w:wordWrap/>
        <w:overflowPunct/>
        <w:topLinePunct w:val="0"/>
        <w:bidi w:val="0"/>
        <w:adjustRightInd/>
        <w:spacing w:line="360" w:lineRule="exact"/>
        <w:ind w:firstLine="435" w:firstLineChars="0"/>
        <w:jc w:val="both"/>
        <w:rPr>
          <w:rFonts w:hint="eastAsia"/>
          <w:color w:val="auto"/>
          <w:sz w:val="21"/>
          <w:szCs w:val="21"/>
        </w:rPr>
      </w:pPr>
      <w:r>
        <w:rPr>
          <w:rFonts w:hint="eastAsia"/>
          <w:color w:val="auto"/>
          <w:sz w:val="21"/>
          <w:szCs w:val="21"/>
        </w:rPr>
        <w:t>根据工信</w:t>
      </w:r>
      <w:r>
        <w:rPr>
          <w:rFonts w:hint="eastAsia"/>
          <w:color w:val="auto"/>
          <w:sz w:val="21"/>
          <w:szCs w:val="21"/>
          <w:lang w:val="en-US" w:eastAsia="zh-CN"/>
        </w:rPr>
        <w:t>厅科函[2024]317号</w:t>
      </w:r>
      <w:r>
        <w:rPr>
          <w:rFonts w:hint="eastAsia"/>
          <w:color w:val="auto"/>
          <w:sz w:val="21"/>
          <w:szCs w:val="21"/>
        </w:rPr>
        <w:t>《</w:t>
      </w:r>
      <w:r>
        <w:rPr>
          <w:rFonts w:hint="eastAsia"/>
          <w:color w:val="auto"/>
          <w:sz w:val="21"/>
          <w:szCs w:val="21"/>
          <w:lang w:val="en-US" w:eastAsia="zh-CN"/>
        </w:rPr>
        <w:t>工业和信息化部办公厅关于印发2024年第三批行业</w:t>
      </w:r>
      <w:r>
        <w:rPr>
          <w:rFonts w:hint="eastAsia"/>
          <w:color w:val="auto"/>
          <w:sz w:val="21"/>
          <w:szCs w:val="21"/>
        </w:rPr>
        <w:t>标准制修订计划的通知》</w:t>
      </w:r>
      <w:r>
        <w:rPr>
          <w:rFonts w:hint="eastAsia"/>
          <w:color w:val="auto"/>
          <w:sz w:val="21"/>
          <w:szCs w:val="21"/>
          <w:lang w:val="en-US" w:eastAsia="zh-CN"/>
        </w:rPr>
        <w:t>的要求</w:t>
      </w:r>
      <w:r>
        <w:rPr>
          <w:rFonts w:hint="eastAsia"/>
          <w:color w:val="auto"/>
          <w:sz w:val="21"/>
          <w:szCs w:val="21"/>
        </w:rPr>
        <w:t>，</w:t>
      </w:r>
      <w:r>
        <w:rPr>
          <w:rFonts w:hint="eastAsia"/>
        </w:rPr>
        <w:t>于2024年</w:t>
      </w:r>
      <w:r>
        <w:rPr>
          <w:rFonts w:hint="eastAsia"/>
          <w:lang w:val="en-US" w:eastAsia="zh-CN"/>
        </w:rPr>
        <w:t>至2025年</w:t>
      </w:r>
      <w:r>
        <w:rPr>
          <w:rFonts w:hint="eastAsia"/>
        </w:rPr>
        <w:t>完成《</w:t>
      </w:r>
      <w:r>
        <w:rPr>
          <w:rFonts w:hint="eastAsia"/>
          <w:lang w:val="en-US" w:eastAsia="zh-CN"/>
        </w:rPr>
        <w:t>钠离子电池用铜铁锰酸钠</w:t>
      </w:r>
      <w:r>
        <w:rPr>
          <w:rFonts w:hint="eastAsia"/>
        </w:rPr>
        <w:t>》化工行业标准的制定工作，计划编号：2</w:t>
      </w:r>
      <w:r>
        <w:t>02</w:t>
      </w:r>
      <w:r>
        <w:rPr>
          <w:rFonts w:hint="eastAsia"/>
          <w:lang w:val="en-US" w:eastAsia="zh-CN"/>
        </w:rPr>
        <w:t>4</w:t>
      </w:r>
      <w:r>
        <w:rPr>
          <w:rFonts w:hint="eastAsia"/>
        </w:rPr>
        <w:t>-</w:t>
      </w:r>
      <w:r>
        <w:rPr>
          <w:rFonts w:hint="eastAsia"/>
          <w:lang w:val="en-US" w:eastAsia="zh-CN"/>
        </w:rPr>
        <w:t>0919</w:t>
      </w:r>
      <w:r>
        <w:rPr>
          <w:rFonts w:hint="eastAsia"/>
        </w:rPr>
        <w:t>T-HG。本标准由全国化学标准化技术委员会无机化工分技术委员会负责技术归口。本标准由</w:t>
      </w:r>
      <w:r>
        <w:rPr>
          <w:rFonts w:hint="eastAsia"/>
          <w:highlight w:val="none"/>
          <w:lang w:val="en-US" w:eastAsia="zh-CN"/>
        </w:rPr>
        <w:t>广东邦普循环</w:t>
      </w:r>
      <w:r>
        <w:rPr>
          <w:rFonts w:hint="eastAsia"/>
          <w:highlight w:val="none"/>
        </w:rPr>
        <w:t>有限公司、</w:t>
      </w:r>
      <w:r>
        <w:rPr>
          <w:rFonts w:hint="eastAsia"/>
          <w:highlight w:val="none"/>
          <w:lang w:val="en-US" w:eastAsia="zh-CN"/>
        </w:rPr>
        <w:t>格林美股份有限公司</w:t>
      </w:r>
      <w:r>
        <w:rPr>
          <w:rFonts w:hint="eastAsia"/>
          <w:highlight w:val="none"/>
        </w:rPr>
        <w:t>、中海油天津化工研究设计院有限公司</w:t>
      </w:r>
      <w:r>
        <w:rPr>
          <w:rFonts w:hint="eastAsia"/>
          <w:highlight w:val="none"/>
          <w:lang w:eastAsia="zh-CN"/>
        </w:rPr>
        <w:t>（</w:t>
      </w:r>
      <w:r>
        <w:rPr>
          <w:rFonts w:hint="eastAsia"/>
          <w:highlight w:val="none"/>
          <w:lang w:val="en-US" w:eastAsia="zh-CN"/>
        </w:rPr>
        <w:t>以下简称中海油天</w:t>
      </w:r>
      <w:r>
        <w:rPr>
          <w:rFonts w:hint="eastAsia"/>
          <w:lang w:val="en-US" w:eastAsia="zh-CN"/>
        </w:rPr>
        <w:t>津院</w:t>
      </w:r>
      <w:r>
        <w:rPr>
          <w:rFonts w:hint="eastAsia"/>
          <w:lang w:eastAsia="zh-CN"/>
        </w:rPr>
        <w:t>）</w:t>
      </w:r>
      <w:r>
        <w:rPr>
          <w:rFonts w:hint="eastAsia"/>
          <w:lang w:val="en-US" w:eastAsia="zh-CN"/>
        </w:rPr>
        <w:t>等</w:t>
      </w:r>
      <w:r>
        <w:rPr>
          <w:rFonts w:hint="eastAsia"/>
        </w:rPr>
        <w:t>共同起草</w:t>
      </w:r>
      <w:r>
        <w:rPr>
          <w:rFonts w:hint="eastAsia"/>
          <w:color w:val="auto"/>
          <w:sz w:val="21"/>
          <w:szCs w:val="21"/>
        </w:rPr>
        <w:t>。</w:t>
      </w:r>
    </w:p>
    <w:p>
      <w:pPr>
        <w:keepNext w:val="0"/>
        <w:keepLines w:val="0"/>
        <w:pageBreakBefore w:val="0"/>
        <w:kinsoku/>
        <w:wordWrap/>
        <w:overflowPunct/>
        <w:topLinePunct w:val="0"/>
        <w:bidi w:val="0"/>
        <w:adjustRightInd/>
        <w:spacing w:before="78" w:beforeLines="25" w:after="78" w:afterLines="25" w:line="360" w:lineRule="exact"/>
        <w:ind w:firstLine="420" w:firstLineChars="200"/>
        <w:rPr>
          <w:rFonts w:hint="eastAsia" w:ascii="黑体" w:hAnsi="宋体" w:eastAsia="黑体"/>
        </w:rPr>
      </w:pPr>
      <w:r>
        <w:rPr>
          <w:rFonts w:hint="eastAsia" w:ascii="黑体" w:hAnsi="宋体" w:eastAsia="黑体"/>
        </w:rPr>
        <w:t>2、简要情况</w:t>
      </w:r>
    </w:p>
    <w:p>
      <w:pPr>
        <w:keepNext w:val="0"/>
        <w:keepLines w:val="0"/>
        <w:pageBreakBefore w:val="0"/>
        <w:numPr>
          <w:ilvl w:val="0"/>
          <w:numId w:val="5"/>
        </w:numPr>
        <w:kinsoku/>
        <w:wordWrap/>
        <w:overflowPunct/>
        <w:topLinePunct w:val="0"/>
        <w:bidi w:val="0"/>
        <w:adjustRightInd/>
        <w:spacing w:before="78" w:beforeLines="25" w:after="78" w:afterLines="25" w:line="360" w:lineRule="exact"/>
        <w:ind w:left="839"/>
        <w:rPr>
          <w:rFonts w:hint="eastAsia" w:ascii="黑体" w:hAnsi="宋体" w:eastAsia="黑体"/>
        </w:rPr>
      </w:pPr>
      <w:r>
        <w:rPr>
          <w:rFonts w:hint="eastAsia" w:ascii="黑体" w:hAnsi="宋体" w:eastAsia="黑体"/>
        </w:rPr>
        <w:t>产品概况</w:t>
      </w:r>
    </w:p>
    <w:p>
      <w:pPr>
        <w:keepNext w:val="0"/>
        <w:keepLines w:val="0"/>
        <w:pageBreakBefore w:val="0"/>
        <w:kinsoku/>
        <w:wordWrap/>
        <w:overflowPunct/>
        <w:topLinePunct w:val="0"/>
        <w:bidi w:val="0"/>
        <w:adjustRightInd/>
        <w:spacing w:line="360" w:lineRule="exact"/>
        <w:ind w:firstLine="420" w:firstLineChars="200"/>
      </w:pPr>
      <w:r>
        <w:rPr>
          <w:rFonts w:hint="eastAsia" w:ascii="黑体" w:eastAsia="黑体"/>
        </w:rPr>
        <w:t>产品名称</w:t>
      </w:r>
      <w:r>
        <w:rPr>
          <w:rFonts w:hint="eastAsia"/>
        </w:rPr>
        <w:t>：</w:t>
      </w:r>
      <w:r>
        <w:rPr>
          <w:rFonts w:hint="eastAsia"/>
          <w:lang w:val="en-US" w:eastAsia="zh-CN"/>
        </w:rPr>
        <w:t>铜铁锰酸钠</w:t>
      </w:r>
      <w:r>
        <w:rPr>
          <w:rFonts w:hint="eastAsia"/>
        </w:rPr>
        <w:t xml:space="preserve"> </w:t>
      </w:r>
      <w:r>
        <w:t xml:space="preserve">   </w:t>
      </w:r>
    </w:p>
    <w:p>
      <w:pPr>
        <w:keepNext w:val="0"/>
        <w:keepLines w:val="0"/>
        <w:pageBreakBefore w:val="0"/>
        <w:kinsoku/>
        <w:wordWrap/>
        <w:overflowPunct/>
        <w:topLinePunct w:val="0"/>
        <w:bidi w:val="0"/>
        <w:adjustRightInd/>
        <w:spacing w:line="360" w:lineRule="exact"/>
        <w:ind w:firstLine="420" w:firstLineChars="200"/>
        <w:rPr>
          <w:rFonts w:hint="eastAsia"/>
        </w:rPr>
      </w:pPr>
      <w:r>
        <w:rPr>
          <w:rFonts w:hint="eastAsia" w:ascii="黑体" w:eastAsia="黑体"/>
        </w:rPr>
        <w:t>分子式</w:t>
      </w:r>
      <w:r>
        <w:rPr>
          <w:rFonts w:hint="eastAsia"/>
        </w:rPr>
        <w:t>：</w:t>
      </w:r>
      <w:r>
        <w:rPr>
          <w:rFonts w:ascii="Times New Roman" w:hAnsi="Times New Roman"/>
          <w:kern w:val="0"/>
          <w:szCs w:val="20"/>
          <w:highlight w:val="none"/>
        </w:rPr>
        <w:t>NaC</w:t>
      </w:r>
      <w:r>
        <w:rPr>
          <w:rFonts w:hint="eastAsia" w:ascii="Times New Roman" w:hAnsi="Times New Roman"/>
          <w:kern w:val="0"/>
          <w:szCs w:val="20"/>
          <w:highlight w:val="none"/>
        </w:rPr>
        <w:t>u</w:t>
      </w:r>
      <w:r>
        <w:rPr>
          <w:rFonts w:ascii="Times New Roman" w:hAnsi="Times New Roman"/>
          <w:kern w:val="0"/>
          <w:szCs w:val="20"/>
          <w:highlight w:val="none"/>
          <w:vertAlign w:val="subscript"/>
        </w:rPr>
        <w:t>x</w:t>
      </w:r>
      <w:r>
        <w:rPr>
          <w:rFonts w:ascii="Times New Roman" w:hAnsi="Times New Roman"/>
          <w:kern w:val="0"/>
          <w:szCs w:val="20"/>
          <w:highlight w:val="none"/>
        </w:rPr>
        <w:t>Mn</w:t>
      </w:r>
      <w:r>
        <w:rPr>
          <w:rFonts w:ascii="Times New Roman" w:hAnsi="Times New Roman"/>
          <w:kern w:val="0"/>
          <w:szCs w:val="20"/>
          <w:highlight w:val="none"/>
          <w:vertAlign w:val="subscript"/>
        </w:rPr>
        <w:t>y</w:t>
      </w:r>
      <w:r>
        <w:rPr>
          <w:rFonts w:ascii="Times New Roman" w:hAnsi="Times New Roman"/>
          <w:kern w:val="0"/>
          <w:szCs w:val="20"/>
          <w:highlight w:val="none"/>
        </w:rPr>
        <w:t>Fe</w:t>
      </w:r>
      <w:r>
        <w:rPr>
          <w:rFonts w:hint="eastAsia" w:ascii="Times New Roman" w:hAnsi="Times New Roman"/>
          <w:kern w:val="0"/>
          <w:szCs w:val="20"/>
          <w:highlight w:val="none"/>
          <w:vertAlign w:val="subscript"/>
        </w:rPr>
        <w:t>（</w:t>
      </w:r>
      <w:r>
        <w:rPr>
          <w:rFonts w:ascii="Times New Roman" w:hAnsi="Times New Roman"/>
          <w:kern w:val="0"/>
          <w:szCs w:val="20"/>
          <w:highlight w:val="none"/>
          <w:vertAlign w:val="subscript"/>
        </w:rPr>
        <w:t>1-x-y</w:t>
      </w:r>
      <w:r>
        <w:rPr>
          <w:rFonts w:hint="eastAsia" w:ascii="Times New Roman" w:hAnsi="Times New Roman"/>
          <w:kern w:val="0"/>
          <w:szCs w:val="20"/>
          <w:highlight w:val="none"/>
          <w:vertAlign w:val="subscript"/>
        </w:rPr>
        <w:t>）</w:t>
      </w:r>
      <w:r>
        <w:rPr>
          <w:rFonts w:ascii="Times New Roman" w:hAnsi="Times New Roman"/>
          <w:kern w:val="0"/>
          <w:szCs w:val="20"/>
          <w:highlight w:val="none"/>
        </w:rPr>
        <w:t>O</w:t>
      </w:r>
      <w:r>
        <w:rPr>
          <w:rFonts w:ascii="Times New Roman" w:hAnsi="Times New Roman"/>
          <w:kern w:val="0"/>
          <w:szCs w:val="20"/>
          <w:highlight w:val="none"/>
          <w:vertAlign w:val="subscript"/>
        </w:rPr>
        <w:t>2</w:t>
      </w:r>
      <w:r>
        <w:rPr>
          <w:rFonts w:hint="eastAsia" w:ascii="Times New Roman" w:hAnsi="Times New Roman"/>
          <w:kern w:val="0"/>
          <w:szCs w:val="20"/>
          <w:highlight w:val="none"/>
        </w:rPr>
        <w:t>（</w:t>
      </w:r>
      <w:r>
        <w:rPr>
          <w:rFonts w:hint="eastAsia" w:ascii="Times New Roman" w:hAnsi="Times New Roman"/>
          <w:highlight w:val="none"/>
        </w:rPr>
        <w:t>x</w:t>
      </w:r>
      <w:r>
        <w:rPr>
          <w:rFonts w:hint="eastAsia"/>
          <w:highlight w:val="none"/>
        </w:rPr>
        <w:t>：0</w:t>
      </w:r>
      <w:r>
        <w:rPr>
          <w:rFonts w:hint="eastAsia" w:ascii="宋体" w:hAnsi="宋体" w:cs="宋体"/>
          <w:highlight w:val="none"/>
        </w:rPr>
        <w:t>～</w:t>
      </w:r>
      <w:r>
        <w:rPr>
          <w:highlight w:val="none"/>
        </w:rPr>
        <w:t>0.2</w:t>
      </w:r>
      <w:r>
        <w:rPr>
          <w:rFonts w:hint="eastAsia"/>
          <w:highlight w:val="none"/>
        </w:rPr>
        <w:t>，y：0</w:t>
      </w:r>
      <w:r>
        <w:rPr>
          <w:highlight w:val="none"/>
        </w:rPr>
        <w:t>.3</w:t>
      </w:r>
      <w:r>
        <w:rPr>
          <w:rFonts w:hint="eastAsia" w:ascii="宋体" w:hAnsi="宋体" w:cs="宋体"/>
          <w:highlight w:val="none"/>
        </w:rPr>
        <w:t>～</w:t>
      </w:r>
      <w:r>
        <w:rPr>
          <w:highlight w:val="none"/>
        </w:rPr>
        <w:t>0.6</w:t>
      </w:r>
      <w:r>
        <w:rPr>
          <w:rFonts w:hint="eastAsia" w:ascii="Times New Roman" w:hAnsi="Times New Roman"/>
          <w:kern w:val="0"/>
          <w:szCs w:val="20"/>
          <w:highlight w:val="none"/>
        </w:rPr>
        <w:t>）</w:t>
      </w:r>
    </w:p>
    <w:p>
      <w:pPr>
        <w:keepNext w:val="0"/>
        <w:keepLines w:val="0"/>
        <w:pageBreakBefore w:val="0"/>
        <w:kinsoku/>
        <w:wordWrap/>
        <w:overflowPunct/>
        <w:topLinePunct w:val="0"/>
        <w:bidi w:val="0"/>
        <w:adjustRightInd/>
        <w:spacing w:line="360" w:lineRule="exact"/>
        <w:ind w:firstLine="435" w:firstLineChars="0"/>
        <w:jc w:val="both"/>
        <w:rPr>
          <w:rFonts w:hint="eastAsia"/>
          <w:lang w:eastAsia="zh-CN"/>
        </w:rPr>
      </w:pPr>
      <w:r>
        <w:rPr>
          <w:rFonts w:hint="eastAsia"/>
        </w:rPr>
        <w:t>在钠离子电池层状氧化物正极材料中，铁和锰元素不仅价格低廉，而且具有高的理论比容量；铜和铁元素协同作用可以提高材料的平均放电电位。铜铁锰酸钠</w:t>
      </w:r>
      <w:r>
        <w:rPr>
          <w:rFonts w:hint="eastAsia"/>
          <w:lang w:val="en-US" w:eastAsia="zh-CN"/>
        </w:rPr>
        <w:t>三</w:t>
      </w:r>
      <w:r>
        <w:rPr>
          <w:rFonts w:hint="eastAsia"/>
        </w:rPr>
        <w:t>元正极材料因其具有优异的电化学循环性能和存储稳定性，是目前钠离子电池正极材料的热点之一</w:t>
      </w:r>
      <w:r>
        <w:rPr>
          <w:rFonts w:hint="eastAsia"/>
          <w:lang w:eastAsia="zh-CN"/>
        </w:rPr>
        <w:t>。</w:t>
      </w:r>
    </w:p>
    <w:p>
      <w:pPr>
        <w:keepNext w:val="0"/>
        <w:keepLines w:val="0"/>
        <w:pageBreakBefore w:val="0"/>
        <w:numPr>
          <w:ilvl w:val="0"/>
          <w:numId w:val="5"/>
        </w:numPr>
        <w:kinsoku/>
        <w:wordWrap/>
        <w:overflowPunct/>
        <w:topLinePunct w:val="0"/>
        <w:bidi w:val="0"/>
        <w:adjustRightInd/>
        <w:spacing w:before="78" w:beforeLines="25" w:after="78" w:afterLines="25" w:line="360" w:lineRule="exact"/>
        <w:ind w:left="839"/>
        <w:rPr>
          <w:rFonts w:hint="eastAsia" w:ascii="黑体" w:hAnsi="宋体" w:eastAsia="黑体"/>
          <w:lang w:eastAsia="zh-CN"/>
        </w:rPr>
      </w:pPr>
      <w:r>
        <w:rPr>
          <w:rFonts w:hint="eastAsia" w:ascii="黑体" w:eastAsia="黑体"/>
          <w:lang w:val="en-US" w:eastAsia="zh-CN"/>
        </w:rPr>
        <w:t>生产方法</w:t>
      </w:r>
    </w:p>
    <w:p>
      <w:pPr>
        <w:keepNext w:val="0"/>
        <w:keepLines w:val="0"/>
        <w:pageBreakBefore w:val="0"/>
        <w:kinsoku/>
        <w:wordWrap/>
        <w:overflowPunct/>
        <w:topLinePunct w:val="0"/>
        <w:bidi w:val="0"/>
        <w:adjustRightInd/>
        <w:spacing w:line="360" w:lineRule="exact"/>
        <w:ind w:firstLine="435" w:firstLineChars="0"/>
        <w:jc w:val="both"/>
        <w:rPr>
          <w:rFonts w:hint="eastAsia"/>
        </w:rPr>
      </w:pPr>
      <w:r>
        <w:rPr>
          <w:rFonts w:hint="eastAsia"/>
          <w:lang w:val="en-US" w:eastAsia="zh-CN"/>
        </w:rPr>
        <w:t>以</w:t>
      </w:r>
      <w:r>
        <w:rPr>
          <w:rFonts w:hint="eastAsia"/>
        </w:rPr>
        <w:t>氧化铜、氧化铁和氧化锰</w:t>
      </w:r>
      <w:r>
        <w:rPr>
          <w:rFonts w:hint="eastAsia"/>
          <w:lang w:val="en-US" w:eastAsia="zh-CN"/>
        </w:rPr>
        <w:t>或氢氧化锰</w:t>
      </w:r>
      <w:r>
        <w:rPr>
          <w:rFonts w:hint="eastAsia"/>
        </w:rPr>
        <w:t>作为前驱体，碳酸钠为钠源，通过高温固相法合成。</w:t>
      </w:r>
    </w:p>
    <w:p>
      <w:pPr>
        <w:keepNext w:val="0"/>
        <w:keepLines w:val="0"/>
        <w:pageBreakBefore w:val="0"/>
        <w:kinsoku/>
        <w:wordWrap/>
        <w:overflowPunct/>
        <w:topLinePunct w:val="0"/>
        <w:bidi w:val="0"/>
        <w:adjustRightInd/>
        <w:spacing w:line="360" w:lineRule="exact"/>
        <w:ind w:firstLine="435" w:firstLineChars="0"/>
        <w:jc w:val="both"/>
        <w:rPr>
          <w:rFonts w:hint="eastAsia"/>
          <w:lang w:val="en-US" w:eastAsia="zh-CN"/>
        </w:rPr>
      </w:pPr>
      <w:r>
        <w:rPr>
          <w:rFonts w:hint="default"/>
          <w:lang w:val="en-US" w:eastAsia="zh-CN"/>
        </w:rPr>
        <w:t>将</w:t>
      </w:r>
      <w:r>
        <w:rPr>
          <w:rFonts w:hint="default"/>
          <w:lang w:val="en-US" w:eastAsia="zh-CN"/>
        </w:rPr>
        <w:fldChar w:fldCharType="begin"/>
      </w:r>
      <w:r>
        <w:rPr>
          <w:rFonts w:hint="default"/>
          <w:lang w:val="en-US" w:eastAsia="zh-CN"/>
        </w:rPr>
        <w:instrText xml:space="preserve"> HYPERLINK "https://www.baidu.com/s?rsv_dl=re_dqa_generate&amp;sa=re_dqa_generate&amp;wd=Na2CO3&amp;rsv_pq=c88d811500075465&amp;oq=%E9%93%9C%E9%93%81%E9%94%B0%E9%85%B8%E9%92%A0%E7%94%9F%E4%BA%A7%E6%96%B9%E6%B3%95&amp;rsv_t=f56aarX6cVPE8KfnM+0bgYE+Z+C3sj0fxaHUt9KikmYus3rGnVL/NVtWJrhluiUCK4r6SbPrtESe&amp;tn=62095104_23_oem_dg&amp;ie=utf-8" \t "https://www.baidu.com/_blank" </w:instrText>
      </w:r>
      <w:r>
        <w:rPr>
          <w:rFonts w:hint="default"/>
          <w:lang w:val="en-US" w:eastAsia="zh-CN"/>
        </w:rPr>
        <w:fldChar w:fldCharType="separate"/>
      </w:r>
      <w:r>
        <w:rPr>
          <w:rFonts w:hint="default"/>
          <w:lang w:val="en-US" w:eastAsia="zh-CN"/>
        </w:rPr>
        <w:t>Na</w:t>
      </w:r>
      <w:r>
        <w:rPr>
          <w:rFonts w:hint="default"/>
          <w:vertAlign w:val="subscript"/>
          <w:lang w:val="en-US" w:eastAsia="zh-CN"/>
        </w:rPr>
        <w:t>2</w:t>
      </w:r>
      <w:r>
        <w:rPr>
          <w:rFonts w:hint="default"/>
          <w:lang w:val="en-US" w:eastAsia="zh-CN"/>
        </w:rPr>
        <w:t>CO3</w:t>
      </w:r>
      <w:r>
        <w:rPr>
          <w:rFonts w:hint="default"/>
          <w:lang w:val="en-US" w:eastAsia="zh-CN"/>
        </w:rPr>
        <w:fldChar w:fldCharType="end"/>
      </w:r>
      <w:r>
        <w:rPr>
          <w:rFonts w:hint="default"/>
          <w:lang w:val="en-US" w:eastAsia="zh-CN"/>
        </w:rPr>
        <w:t>、</w:t>
      </w:r>
      <w:r>
        <w:rPr>
          <w:rFonts w:hint="default"/>
          <w:lang w:val="en-US" w:eastAsia="zh-CN"/>
        </w:rPr>
        <w:fldChar w:fldCharType="begin"/>
      </w:r>
      <w:r>
        <w:rPr>
          <w:rFonts w:hint="default"/>
          <w:lang w:val="en-US" w:eastAsia="zh-CN"/>
        </w:rPr>
        <w:instrText xml:space="preserve"> HYPERLINK "https://www.baidu.com/s?rsv_dl=re_dqa_generate&amp;sa=re_dqa_generate&amp;wd=CuO&amp;rsv_pq=c88d811500075465&amp;oq=%E9%93%9C%E9%93%81%E9%94%B0%E9%85%B8%E9%92%A0%E7%94%9F%E4%BA%A7%E6%96%B9%E6%B3%95&amp;rsv_t=f56aarX6cVPE8KfnM+0bgYE+Z+C3sj0fxaHUt9KikmYus3rGnVL/NVtWJrhluiUCK4r6SbPrtESe&amp;tn=62095104_23_oem_dg&amp;ie=utf-8" \t "https://www.baidu.com/_blank" </w:instrText>
      </w:r>
      <w:r>
        <w:rPr>
          <w:rFonts w:hint="default"/>
          <w:lang w:val="en-US" w:eastAsia="zh-CN"/>
        </w:rPr>
        <w:fldChar w:fldCharType="separate"/>
      </w:r>
      <w:r>
        <w:rPr>
          <w:rFonts w:hint="default"/>
          <w:lang w:val="en-US" w:eastAsia="zh-CN"/>
        </w:rPr>
        <w:t>CuO</w:t>
      </w:r>
      <w:r>
        <w:rPr>
          <w:rFonts w:hint="default"/>
          <w:lang w:val="en-US" w:eastAsia="zh-CN"/>
        </w:rPr>
        <w:fldChar w:fldCharType="end"/>
      </w:r>
      <w:r>
        <w:rPr>
          <w:rFonts w:hint="default"/>
          <w:lang w:val="en-US" w:eastAsia="zh-CN"/>
        </w:rPr>
        <w:t>、</w:t>
      </w:r>
      <w:r>
        <w:rPr>
          <w:rFonts w:hint="default"/>
          <w:lang w:val="en-US" w:eastAsia="zh-CN"/>
        </w:rPr>
        <w:fldChar w:fldCharType="begin"/>
      </w:r>
      <w:r>
        <w:rPr>
          <w:rFonts w:hint="default"/>
          <w:lang w:val="en-US" w:eastAsia="zh-CN"/>
        </w:rPr>
        <w:instrText xml:space="preserve"> HYPERLINK "https://www.baidu.com/s?rsv_dl=re_dqa_generate&amp;sa=re_dqa_generate&amp;wd=Fe2O3&amp;rsv_pq=c88d811500075465&amp;oq=%E9%93%9C%E9%93%81%E9%94%B0%E9%85%B8%E9%92%A0%E7%94%9F%E4%BA%A7%E6%96%B9%E6%B3%95&amp;rsv_t=f56aarX6cVPE8KfnM+0bgYE+Z+C3sj0fxaHUt9KikmYus3rGnVL/NVtWJrhluiUCK4r6SbPrtESe&amp;tn=62095104_23_oem_dg&amp;ie=utf-8" \t "https://www.baidu.com/_blank" </w:instrText>
      </w:r>
      <w:r>
        <w:rPr>
          <w:rFonts w:hint="default"/>
          <w:lang w:val="en-US" w:eastAsia="zh-CN"/>
        </w:rPr>
        <w:fldChar w:fldCharType="separate"/>
      </w:r>
      <w:r>
        <w:rPr>
          <w:rFonts w:hint="default"/>
          <w:lang w:val="en-US" w:eastAsia="zh-CN"/>
        </w:rPr>
        <w:t>Fe</w:t>
      </w:r>
      <w:r>
        <w:rPr>
          <w:rFonts w:hint="default"/>
          <w:vertAlign w:val="subscript"/>
          <w:lang w:val="en-US" w:eastAsia="zh-CN"/>
        </w:rPr>
        <w:t>2</w:t>
      </w:r>
      <w:r>
        <w:rPr>
          <w:rFonts w:hint="default"/>
          <w:lang w:val="en-US" w:eastAsia="zh-CN"/>
        </w:rPr>
        <w:t>O</w:t>
      </w:r>
      <w:r>
        <w:rPr>
          <w:rFonts w:hint="default"/>
          <w:vertAlign w:val="subscript"/>
          <w:lang w:val="en-US" w:eastAsia="zh-CN"/>
        </w:rPr>
        <w:t>3</w:t>
      </w:r>
      <w:r>
        <w:rPr>
          <w:rFonts w:hint="default"/>
          <w:lang w:val="en-US" w:eastAsia="zh-CN"/>
        </w:rPr>
        <w:fldChar w:fldCharType="end"/>
      </w:r>
      <w:r>
        <w:rPr>
          <w:rFonts w:hint="default"/>
          <w:lang w:val="en-US" w:eastAsia="zh-CN"/>
        </w:rPr>
        <w:t>和</w:t>
      </w:r>
      <w:r>
        <w:rPr>
          <w:rFonts w:hint="default"/>
          <w:lang w:val="en-US" w:eastAsia="zh-CN"/>
        </w:rPr>
        <w:fldChar w:fldCharType="begin"/>
      </w:r>
      <w:r>
        <w:rPr>
          <w:rFonts w:hint="default"/>
          <w:lang w:val="en-US" w:eastAsia="zh-CN"/>
        </w:rPr>
        <w:instrText xml:space="preserve"> HYPERLINK "https://www.baidu.com/s?rsv_dl=re_dqa_generate&amp;sa=re_dqa_generate&amp;wd=Mn2O3&amp;rsv_pq=c88d811500075465&amp;oq=%E9%93%9C%E9%93%81%E9%94%B0%E9%85%B8%E9%92%A0%E7%94%9F%E4%BA%A7%E6%96%B9%E6%B3%95&amp;rsv_t=f56aarX6cVPE8KfnM+0bgYE+Z+C3sj0fxaHUt9KikmYus3rGnVL/NVtWJrhluiUCK4r6SbPrtESe&amp;tn=62095104_23_oem_dg&amp;ie=utf-8" \t "https://www.baidu.com/_blank" </w:instrText>
      </w:r>
      <w:r>
        <w:rPr>
          <w:rFonts w:hint="default"/>
          <w:lang w:val="en-US" w:eastAsia="zh-CN"/>
        </w:rPr>
        <w:fldChar w:fldCharType="separate"/>
      </w:r>
      <w:r>
        <w:rPr>
          <w:rFonts w:hint="default"/>
          <w:lang w:val="en-US" w:eastAsia="zh-CN"/>
        </w:rPr>
        <w:t>Mn</w:t>
      </w:r>
      <w:r>
        <w:rPr>
          <w:rFonts w:hint="default"/>
          <w:vertAlign w:val="subscript"/>
          <w:lang w:val="en-US" w:eastAsia="zh-CN"/>
        </w:rPr>
        <w:t>2</w:t>
      </w:r>
      <w:r>
        <w:rPr>
          <w:rFonts w:hint="default"/>
          <w:lang w:val="en-US" w:eastAsia="zh-CN"/>
        </w:rPr>
        <w:t>O</w:t>
      </w:r>
      <w:r>
        <w:rPr>
          <w:rFonts w:hint="default"/>
          <w:vertAlign w:val="subscript"/>
          <w:lang w:val="en-US" w:eastAsia="zh-CN"/>
        </w:rPr>
        <w:t>3</w:t>
      </w:r>
      <w:r>
        <w:rPr>
          <w:rFonts w:hint="default"/>
          <w:lang w:val="en-US" w:eastAsia="zh-CN"/>
        </w:rPr>
        <w:fldChar w:fldCharType="end"/>
      </w:r>
      <w:r>
        <w:rPr>
          <w:rFonts w:hint="default"/>
          <w:lang w:val="en-US" w:eastAsia="zh-CN"/>
        </w:rPr>
        <w:t>按一定比例混合</w:t>
      </w:r>
      <w:r>
        <w:rPr>
          <w:rFonts w:hint="eastAsia"/>
          <w:lang w:val="en-US" w:eastAsia="zh-CN"/>
        </w:rPr>
        <w:t>，</w:t>
      </w:r>
      <w:r>
        <w:rPr>
          <w:rFonts w:hint="default"/>
          <w:lang w:val="en-US" w:eastAsia="zh-CN"/>
        </w:rPr>
        <w:t>将混合物在高温下煅烧，</w:t>
      </w:r>
      <w:r>
        <w:rPr>
          <w:rFonts w:hint="eastAsia"/>
          <w:lang w:val="en-US" w:eastAsia="zh-CN"/>
        </w:rPr>
        <w:t>煅烧问题</w:t>
      </w:r>
      <w:r>
        <w:rPr>
          <w:rFonts w:hint="default"/>
          <w:lang w:val="en-US" w:eastAsia="zh-CN"/>
        </w:rPr>
        <w:t>通常</w:t>
      </w:r>
      <w:r>
        <w:rPr>
          <w:rFonts w:hint="eastAsia"/>
          <w:lang w:val="en-US" w:eastAsia="zh-CN"/>
        </w:rPr>
        <w:t>为</w:t>
      </w:r>
      <w:r>
        <w:rPr>
          <w:rFonts w:hint="default"/>
          <w:lang w:val="en-US" w:eastAsia="zh-CN"/>
        </w:rPr>
        <w:t>700℃</w:t>
      </w:r>
      <w:r>
        <w:rPr>
          <w:rFonts w:hint="eastAsia" w:ascii="宋体" w:hAnsi="宋体" w:eastAsia="宋体" w:cs="宋体"/>
          <w:lang w:val="en-US" w:eastAsia="zh-CN"/>
        </w:rPr>
        <w:t>～</w:t>
      </w:r>
      <w:r>
        <w:rPr>
          <w:rFonts w:hint="default"/>
          <w:lang w:val="en-US" w:eastAsia="zh-CN"/>
        </w:rPr>
        <w:t>900℃，促进化学反应和晶体的形成。煅烧后将产物研磨成粉末状</w:t>
      </w:r>
      <w:r>
        <w:rPr>
          <w:rFonts w:hint="eastAsia"/>
          <w:lang w:val="en-US" w:eastAsia="zh-CN"/>
        </w:rPr>
        <w:t>，再经</w:t>
      </w:r>
      <w:r>
        <w:rPr>
          <w:rFonts w:hint="default"/>
          <w:lang w:val="en-US" w:eastAsia="zh-CN"/>
        </w:rPr>
        <w:t>‌洗涤</w:t>
      </w:r>
      <w:r>
        <w:rPr>
          <w:rFonts w:hint="eastAsia"/>
          <w:lang w:val="en-US" w:eastAsia="zh-CN"/>
        </w:rPr>
        <w:t>、</w:t>
      </w:r>
      <w:r>
        <w:rPr>
          <w:rFonts w:hint="default"/>
          <w:lang w:val="en-US" w:eastAsia="zh-CN"/>
        </w:rPr>
        <w:t>干燥</w:t>
      </w:r>
      <w:r>
        <w:rPr>
          <w:rFonts w:hint="eastAsia"/>
          <w:lang w:val="en-US" w:eastAsia="zh-CN"/>
        </w:rPr>
        <w:t>制备为成品</w:t>
      </w:r>
      <w:r>
        <w:rPr>
          <w:rFonts w:hint="default"/>
          <w:lang w:val="en-US" w:eastAsia="zh-CN"/>
        </w:rPr>
        <w:t>。</w:t>
      </w:r>
    </w:p>
    <w:p>
      <w:pPr>
        <w:keepNext w:val="0"/>
        <w:keepLines w:val="0"/>
        <w:pageBreakBefore w:val="0"/>
        <w:numPr>
          <w:ilvl w:val="0"/>
          <w:numId w:val="5"/>
        </w:numPr>
        <w:kinsoku/>
        <w:wordWrap/>
        <w:overflowPunct/>
        <w:topLinePunct w:val="0"/>
        <w:bidi w:val="0"/>
        <w:adjustRightInd/>
        <w:spacing w:before="78" w:beforeLines="25" w:after="78" w:afterLines="25" w:line="360" w:lineRule="exact"/>
        <w:ind w:left="839"/>
        <w:rPr>
          <w:rFonts w:hint="eastAsia" w:ascii="黑体" w:hAnsi="宋体" w:eastAsia="黑体"/>
        </w:rPr>
      </w:pPr>
      <w:r>
        <w:rPr>
          <w:rFonts w:hint="eastAsia" w:ascii="黑体" w:hAnsi="宋体" w:eastAsia="黑体"/>
        </w:rPr>
        <w:t>制定标准的目的和意义</w:t>
      </w:r>
    </w:p>
    <w:p>
      <w:pPr>
        <w:keepNext w:val="0"/>
        <w:keepLines w:val="0"/>
        <w:pageBreakBefore w:val="0"/>
        <w:kinsoku/>
        <w:wordWrap/>
        <w:overflowPunct/>
        <w:topLinePunct w:val="0"/>
        <w:bidi w:val="0"/>
        <w:adjustRightInd/>
        <w:spacing w:line="360" w:lineRule="exact"/>
        <w:ind w:firstLine="435" w:firstLineChars="0"/>
        <w:jc w:val="both"/>
        <w:rPr>
          <w:rFonts w:hint="eastAsia"/>
        </w:rPr>
      </w:pPr>
      <w:r>
        <w:rPr>
          <w:rFonts w:hint="eastAsia"/>
        </w:rPr>
        <w:t>在相同比容量下，钠离子电池的质量及体积比能量密度明显低于锂离子电池。因此，发展高比容量、长循环寿命及低成本的钠离子电池是将来实现钠离子电池商业化的关键。钠离子电池的电池性能及成本很大程度上取决于正极材料，因而开发低成本、高性能的正极材料至关重要。目前，常见的钠离子电池正极材料主要包括有层状过渡金属氧化物、普鲁士蓝化合物、聚阴离子化合物、隧道型氧化物等</w:t>
      </w:r>
      <w:r>
        <w:rPr>
          <w:rFonts w:hint="eastAsia"/>
          <w:lang w:eastAsia="zh-CN"/>
        </w:rPr>
        <w:t>，</w:t>
      </w:r>
      <w:r>
        <w:rPr>
          <w:rFonts w:hint="eastAsia"/>
        </w:rPr>
        <w:t>铜铁锰酸钠是目前相对成熟的层状氧化物正极材料。</w:t>
      </w:r>
      <w:bookmarkStart w:id="0" w:name="_Hlk106020835"/>
      <w:r>
        <w:rPr>
          <w:rFonts w:hint="eastAsia"/>
        </w:rPr>
        <w:t>2021年7月，宁德时代发布了公司第一代钠离子电池，电芯单体能量密度达160Wh/kg，在零下20摄氏度低温的环境下，仍然有90%以上的放电保持率。</w:t>
      </w:r>
      <w:bookmarkStart w:id="1" w:name="_Hlk137741546"/>
      <w:r>
        <w:rPr>
          <w:rFonts w:hint="eastAsia"/>
        </w:rPr>
        <w:t>2023年4月，宁德时代钠离子电池首发落地奇瑞车型。</w:t>
      </w:r>
      <w:bookmarkEnd w:id="0"/>
      <w:bookmarkEnd w:id="1"/>
    </w:p>
    <w:p>
      <w:pPr>
        <w:keepNext w:val="0"/>
        <w:keepLines w:val="0"/>
        <w:pageBreakBefore w:val="0"/>
        <w:kinsoku/>
        <w:wordWrap/>
        <w:overflowPunct/>
        <w:topLinePunct w:val="0"/>
        <w:bidi w:val="0"/>
        <w:adjustRightInd/>
        <w:spacing w:line="360" w:lineRule="exact"/>
        <w:ind w:firstLine="435" w:firstLineChars="0"/>
        <w:jc w:val="both"/>
        <w:rPr>
          <w:rFonts w:hint="eastAsia"/>
          <w:szCs w:val="21"/>
        </w:rPr>
      </w:pPr>
      <w:r>
        <w:rPr>
          <w:rFonts w:hint="eastAsia"/>
        </w:rPr>
        <w:t>正极材料作为钠离子电池的核心材料，直接影响着电池的能量密度、功率密度、高低温性能、循环性能、安全性等重要性能。</w:t>
      </w:r>
      <w:r>
        <w:rPr>
          <w:rFonts w:hint="eastAsia"/>
          <w:szCs w:val="21"/>
        </w:rPr>
        <w:t>预计到2025年，储能领域钠电池出货预计将达50GWh，行业将进入爆发期，各企业产能逐步释放。在此背景下，铜铁锰酸钠具有广阔的储能市场应用前景，市场需求量也在不断攀升。因此，为了促进产品的技术发展，提高产品品质，方便厂家与客户对标，制定出适合生产厂家和客户需求的铜铁锰酸钠行业标准迫在眉睫，也可弥补行业空白。对加快新产品，新技术转化为标准的步伐，促进新型钠离子电池行业的良性发展具有重要意义。</w:t>
      </w:r>
    </w:p>
    <w:p>
      <w:pPr>
        <w:keepNext w:val="0"/>
        <w:keepLines w:val="0"/>
        <w:pageBreakBefore w:val="0"/>
        <w:numPr>
          <w:ilvl w:val="0"/>
          <w:numId w:val="5"/>
        </w:numPr>
        <w:kinsoku/>
        <w:wordWrap/>
        <w:overflowPunct/>
        <w:topLinePunct w:val="0"/>
        <w:bidi w:val="0"/>
        <w:adjustRightInd/>
        <w:spacing w:before="78" w:beforeLines="25" w:after="78" w:afterLines="25" w:line="360" w:lineRule="exact"/>
        <w:ind w:left="839"/>
        <w:rPr>
          <w:rFonts w:hint="eastAsia" w:ascii="黑体" w:hAnsi="宋体" w:eastAsia="黑体"/>
        </w:rPr>
      </w:pPr>
      <w:r>
        <w:rPr>
          <w:rFonts w:hint="eastAsia" w:ascii="黑体" w:hAnsi="宋体" w:eastAsia="黑体"/>
          <w:lang w:val="en-US" w:eastAsia="zh-CN"/>
        </w:rPr>
        <w:t>行业情况</w:t>
      </w:r>
    </w:p>
    <w:p>
      <w:pPr>
        <w:keepNext w:val="0"/>
        <w:keepLines w:val="0"/>
        <w:pageBreakBefore w:val="0"/>
        <w:kinsoku/>
        <w:wordWrap/>
        <w:overflowPunct/>
        <w:topLinePunct w:val="0"/>
        <w:bidi w:val="0"/>
        <w:adjustRightInd/>
        <w:spacing w:line="360" w:lineRule="exact"/>
        <w:ind w:firstLine="435" w:firstLineChars="0"/>
        <w:jc w:val="both"/>
        <w:rPr>
          <w:rFonts w:hint="eastAsia"/>
          <w:lang w:eastAsia="zh-CN"/>
        </w:rPr>
      </w:pPr>
      <w:r>
        <w:rPr>
          <w:rFonts w:hint="eastAsia"/>
        </w:rPr>
        <w:t>目前，钠离子电池已逐步开始了从实验室走向实用化应用的阶段，国内外已有超过二十家企业正在进行钠离子电池产业化的相关布局，并取得了重要进展</w:t>
      </w:r>
      <w:r>
        <w:rPr>
          <w:rFonts w:hint="eastAsia"/>
          <w:lang w:eastAsia="zh-CN"/>
        </w:rPr>
        <w:t>。</w:t>
      </w:r>
      <w:r>
        <w:rPr>
          <w:rFonts w:hint="eastAsia"/>
          <w:lang w:val="en-US" w:eastAsia="zh-CN"/>
        </w:rPr>
        <w:t>国外企业</w:t>
      </w:r>
      <w:r>
        <w:rPr>
          <w:rFonts w:hint="eastAsia"/>
        </w:rPr>
        <w:t>主要包括英国FARADION公司、法国NAIADES计划团体、美国Natron Energy公司、日本岸田化学、丰田、松下、三菱化学</w:t>
      </w:r>
      <w:r>
        <w:rPr>
          <w:rFonts w:hint="eastAsia"/>
          <w:lang w:val="en-US" w:eastAsia="zh-CN"/>
        </w:rPr>
        <w:t>等。国内</w:t>
      </w:r>
      <w:r>
        <w:rPr>
          <w:rFonts w:hint="eastAsia"/>
        </w:rPr>
        <w:t>各企业已公开宣布的产能已达18万吨以上，其主要生产企业有广东邦普、华阳股份、中科海纳、浙江钠创新能源、广东邦普、振华新材</w:t>
      </w:r>
      <w:r>
        <w:rPr>
          <w:rFonts w:hint="eastAsia"/>
          <w:lang w:eastAsia="zh-CN"/>
        </w:rPr>
        <w:t>、</w:t>
      </w:r>
      <w:r>
        <w:rPr>
          <w:rFonts w:hint="eastAsia"/>
        </w:rPr>
        <w:t>辽宁星空钠电、容百科技、蜂巢能源等。</w:t>
      </w:r>
    </w:p>
    <w:p>
      <w:pPr>
        <w:keepNext w:val="0"/>
        <w:keepLines w:val="0"/>
        <w:pageBreakBefore w:val="0"/>
        <w:numPr>
          <w:ilvl w:val="0"/>
          <w:numId w:val="4"/>
        </w:numPr>
        <w:kinsoku/>
        <w:wordWrap/>
        <w:overflowPunct/>
        <w:topLinePunct w:val="0"/>
        <w:bidi w:val="0"/>
        <w:adjustRightInd/>
        <w:spacing w:before="78" w:beforeLines="25" w:after="78" w:afterLines="25" w:line="360" w:lineRule="exact"/>
        <w:ind w:left="567" w:hanging="567"/>
        <w:rPr>
          <w:rFonts w:hint="eastAsia" w:ascii="黑体" w:hAnsi="宋体" w:eastAsia="黑体"/>
        </w:rPr>
      </w:pPr>
      <w:r>
        <w:rPr>
          <w:rFonts w:hint="eastAsia" w:ascii="黑体" w:hAnsi="宋体" w:eastAsia="黑体"/>
        </w:rPr>
        <w:t>主要工作过程</w:t>
      </w:r>
    </w:p>
    <w:p>
      <w:pPr>
        <w:keepNext w:val="0"/>
        <w:keepLines w:val="0"/>
        <w:pageBreakBefore w:val="0"/>
        <w:numPr>
          <w:ilvl w:val="0"/>
          <w:numId w:val="6"/>
        </w:numPr>
        <w:kinsoku/>
        <w:wordWrap/>
        <w:overflowPunct/>
        <w:topLinePunct w:val="0"/>
        <w:bidi w:val="0"/>
        <w:adjustRightInd/>
        <w:spacing w:before="78" w:beforeLines="25" w:after="78" w:afterLines="25" w:line="360" w:lineRule="exact"/>
        <w:ind w:hanging="295"/>
        <w:rPr>
          <w:rFonts w:hint="eastAsia" w:ascii="黑体" w:hAnsi="黑体" w:eastAsia="黑体" w:cs="黑体"/>
        </w:rPr>
      </w:pPr>
      <w:r>
        <w:rPr>
          <w:rFonts w:hint="eastAsia" w:ascii="黑体" w:hAnsi="黑体" w:eastAsia="黑体" w:cs="黑体"/>
        </w:rPr>
        <w:t>起草阶段（20</w:t>
      </w:r>
      <w:r>
        <w:rPr>
          <w:rFonts w:ascii="黑体" w:hAnsi="黑体" w:eastAsia="黑体" w:cs="黑体"/>
        </w:rPr>
        <w:t>2</w:t>
      </w:r>
      <w:r>
        <w:rPr>
          <w:rFonts w:hint="eastAsia" w:ascii="黑体" w:hAnsi="黑体" w:eastAsia="黑体" w:cs="黑体"/>
          <w:lang w:val="en-US" w:eastAsia="zh-CN"/>
        </w:rPr>
        <w:t>4</w:t>
      </w:r>
      <w:r>
        <w:rPr>
          <w:rFonts w:hint="eastAsia" w:ascii="黑体" w:hAnsi="黑体" w:eastAsia="黑体" w:cs="黑体"/>
        </w:rPr>
        <w:t>.</w:t>
      </w:r>
      <w:r>
        <w:rPr>
          <w:rFonts w:ascii="黑体" w:hAnsi="黑体" w:eastAsia="黑体" w:cs="黑体"/>
        </w:rPr>
        <w:t>1</w:t>
      </w:r>
      <w:r>
        <w:rPr>
          <w:rFonts w:hint="eastAsia" w:ascii="黑体" w:hAnsi="黑体" w:eastAsia="黑体" w:cs="黑体"/>
          <w:lang w:val="en-US" w:eastAsia="zh-CN"/>
        </w:rPr>
        <w:t>0</w:t>
      </w:r>
      <w:r>
        <w:rPr>
          <w:rFonts w:hint="eastAsia" w:ascii="黑体" w:hAnsi="黑体" w:eastAsia="黑体" w:cs="黑体"/>
        </w:rPr>
        <w:t>～202</w:t>
      </w:r>
      <w:r>
        <w:rPr>
          <w:rFonts w:hint="eastAsia" w:ascii="黑体" w:hAnsi="黑体" w:eastAsia="黑体" w:cs="黑体"/>
          <w:lang w:val="en-US" w:eastAsia="zh-CN"/>
        </w:rPr>
        <w:t>5</w:t>
      </w:r>
      <w:r>
        <w:rPr>
          <w:rFonts w:hint="eastAsia" w:ascii="黑体" w:hAnsi="黑体" w:eastAsia="黑体" w:cs="黑体"/>
        </w:rPr>
        <w:t>.</w:t>
      </w:r>
      <w:r>
        <w:rPr>
          <w:rFonts w:hint="eastAsia" w:ascii="黑体" w:hAnsi="黑体" w:eastAsia="黑体" w:cs="黑体"/>
          <w:lang w:val="en-US" w:eastAsia="zh-CN"/>
        </w:rPr>
        <w:t>4</w:t>
      </w:r>
      <w:r>
        <w:rPr>
          <w:rFonts w:hint="eastAsia" w:ascii="黑体" w:hAnsi="黑体" w:eastAsia="黑体" w:cs="黑体"/>
        </w:rPr>
        <w:t>）</w:t>
      </w:r>
    </w:p>
    <w:p>
      <w:pPr>
        <w:keepNext w:val="0"/>
        <w:keepLines w:val="0"/>
        <w:pageBreakBefore w:val="0"/>
        <w:numPr>
          <w:ilvl w:val="0"/>
          <w:numId w:val="7"/>
        </w:numPr>
        <w:tabs>
          <w:tab w:val="left" w:pos="426"/>
          <w:tab w:val="left" w:pos="709"/>
          <w:tab w:val="left" w:pos="851"/>
          <w:tab w:val="left" w:pos="1134"/>
        </w:tabs>
        <w:kinsoku/>
        <w:wordWrap/>
        <w:overflowPunct/>
        <w:topLinePunct w:val="0"/>
        <w:bidi w:val="0"/>
        <w:adjustRightInd/>
        <w:spacing w:before="78" w:beforeLines="25" w:after="78" w:afterLines="25" w:line="360" w:lineRule="exact"/>
        <w:ind w:left="425" w:firstLine="0"/>
        <w:rPr>
          <w:rFonts w:hint="eastAsia" w:ascii="黑体" w:hAnsi="黑体" w:eastAsia="黑体" w:cs="黑体"/>
        </w:rPr>
      </w:pPr>
      <w:r>
        <w:rPr>
          <w:rFonts w:hint="eastAsia" w:ascii="黑体" w:hAnsi="黑体" w:eastAsia="黑体" w:cs="黑体"/>
        </w:rPr>
        <w:t>起草工作组</w:t>
      </w:r>
    </w:p>
    <w:p>
      <w:pPr>
        <w:keepNext w:val="0"/>
        <w:keepLines w:val="0"/>
        <w:pageBreakBefore w:val="0"/>
        <w:kinsoku/>
        <w:wordWrap/>
        <w:overflowPunct/>
        <w:topLinePunct w:val="0"/>
        <w:bidi w:val="0"/>
        <w:adjustRightInd/>
        <w:spacing w:line="360" w:lineRule="exact"/>
        <w:ind w:firstLine="420"/>
        <w:rPr>
          <w:rFonts w:hint="eastAsia" w:ascii="黑体" w:hAnsi="黑体" w:cs="黑体"/>
          <w:highlight w:val="none"/>
        </w:rPr>
      </w:pPr>
      <w:r>
        <w:rPr>
          <w:rFonts w:hint="eastAsia"/>
          <w:highlight w:val="none"/>
        </w:rPr>
        <w:t>由</w:t>
      </w:r>
      <w:r>
        <w:rPr>
          <w:rFonts w:hint="eastAsia"/>
          <w:highlight w:val="none"/>
          <w:lang w:val="en-US" w:eastAsia="zh-CN"/>
        </w:rPr>
        <w:t>广东邦普循环</w:t>
      </w:r>
      <w:r>
        <w:rPr>
          <w:rFonts w:hint="eastAsia"/>
          <w:highlight w:val="none"/>
        </w:rPr>
        <w:t>有限公司</w:t>
      </w:r>
      <w:r>
        <w:rPr>
          <w:rFonts w:hint="eastAsia"/>
          <w:highlight w:val="none"/>
          <w:lang w:eastAsia="zh-CN"/>
        </w:rPr>
        <w:t>、</w:t>
      </w:r>
      <w:r>
        <w:rPr>
          <w:rFonts w:hint="eastAsia"/>
          <w:highlight w:val="none"/>
          <w:lang w:val="en-US" w:eastAsia="zh-CN"/>
        </w:rPr>
        <w:t>格林美股份有限公司</w:t>
      </w:r>
      <w:r>
        <w:rPr>
          <w:rFonts w:hint="eastAsia"/>
          <w:highlight w:val="none"/>
        </w:rPr>
        <w:t>、</w:t>
      </w:r>
      <w:r>
        <w:rPr>
          <w:rFonts w:hint="eastAsia"/>
          <w:highlight w:val="none"/>
          <w:lang w:val="en-US" w:eastAsia="zh-CN"/>
        </w:rPr>
        <w:t>中海油</w:t>
      </w:r>
      <w:r>
        <w:rPr>
          <w:rFonts w:hint="eastAsia"/>
          <w:highlight w:val="none"/>
        </w:rPr>
        <w:t>天津院等单位组成标准起草工作组</w:t>
      </w:r>
      <w:r>
        <w:rPr>
          <w:rFonts w:hint="eastAsia"/>
          <w:color w:val="000000"/>
          <w:szCs w:val="21"/>
          <w:highlight w:val="none"/>
        </w:rPr>
        <w:t>。</w:t>
      </w:r>
    </w:p>
    <w:p>
      <w:pPr>
        <w:keepNext w:val="0"/>
        <w:keepLines w:val="0"/>
        <w:pageBreakBefore w:val="0"/>
        <w:numPr>
          <w:ilvl w:val="0"/>
          <w:numId w:val="7"/>
        </w:numPr>
        <w:tabs>
          <w:tab w:val="left" w:pos="426"/>
          <w:tab w:val="left" w:pos="709"/>
          <w:tab w:val="left" w:pos="851"/>
          <w:tab w:val="left" w:pos="1134"/>
        </w:tabs>
        <w:kinsoku/>
        <w:wordWrap/>
        <w:overflowPunct/>
        <w:topLinePunct w:val="0"/>
        <w:bidi w:val="0"/>
        <w:adjustRightInd/>
        <w:spacing w:before="78" w:beforeLines="25" w:after="78" w:afterLines="25" w:line="360" w:lineRule="exact"/>
        <w:ind w:left="425" w:firstLine="0"/>
        <w:rPr>
          <w:rFonts w:hint="eastAsia" w:ascii="黑体" w:hAnsi="黑体" w:eastAsia="黑体" w:cs="黑体"/>
        </w:rPr>
      </w:pPr>
      <w:r>
        <w:rPr>
          <w:rFonts w:hint="eastAsia" w:ascii="黑体" w:hAnsi="黑体" w:eastAsia="黑体" w:cs="黑体"/>
        </w:rPr>
        <w:t>分工情况</w:t>
      </w:r>
    </w:p>
    <w:p>
      <w:pPr>
        <w:keepNext w:val="0"/>
        <w:keepLines w:val="0"/>
        <w:pageBreakBefore w:val="0"/>
        <w:tabs>
          <w:tab w:val="left" w:pos="7573"/>
        </w:tabs>
        <w:kinsoku/>
        <w:wordWrap/>
        <w:overflowPunct/>
        <w:topLinePunct w:val="0"/>
        <w:bidi w:val="0"/>
        <w:adjustRightInd/>
        <w:spacing w:line="360" w:lineRule="exact"/>
        <w:ind w:firstLine="420"/>
        <w:rPr>
          <w:rFonts w:hint="eastAsia" w:ascii="黑体" w:hAnsi="黑体" w:eastAsia="黑体" w:cs="黑体"/>
        </w:rPr>
      </w:pPr>
      <w:r>
        <w:rPr>
          <w:rFonts w:hint="eastAsia" w:ascii="宋体" w:hAnsi="宋体" w:cs="宋体"/>
        </w:rPr>
        <w:t>天津院主要负责资料收集、编写文献小结、召开标准工作方案会、数据统计、编写标准各阶段草案、编制说明及相关附件等工作。其他单位主要负责试验方法验证及数据累积工作。</w:t>
      </w:r>
      <w:r>
        <w:rPr>
          <w:rFonts w:hint="eastAsia" w:ascii="黑体" w:hAnsi="黑体" w:eastAsia="黑体" w:cs="黑体"/>
        </w:rPr>
        <w:tab/>
      </w:r>
    </w:p>
    <w:p>
      <w:pPr>
        <w:keepNext w:val="0"/>
        <w:keepLines w:val="0"/>
        <w:pageBreakBefore w:val="0"/>
        <w:numPr>
          <w:ilvl w:val="0"/>
          <w:numId w:val="7"/>
        </w:numPr>
        <w:tabs>
          <w:tab w:val="left" w:pos="426"/>
          <w:tab w:val="left" w:pos="709"/>
          <w:tab w:val="left" w:pos="851"/>
          <w:tab w:val="left" w:pos="1134"/>
        </w:tabs>
        <w:kinsoku/>
        <w:wordWrap/>
        <w:overflowPunct/>
        <w:topLinePunct w:val="0"/>
        <w:bidi w:val="0"/>
        <w:adjustRightInd/>
        <w:spacing w:before="78" w:beforeLines="25" w:after="78" w:afterLines="25" w:line="360" w:lineRule="exact"/>
        <w:ind w:left="425" w:firstLine="0"/>
        <w:rPr>
          <w:rFonts w:hint="eastAsia" w:ascii="黑体" w:hAnsi="黑体" w:eastAsia="黑体" w:cs="黑体"/>
        </w:rPr>
      </w:pPr>
      <w:r>
        <w:rPr>
          <w:rFonts w:hint="eastAsia" w:ascii="黑体" w:hAnsi="黑体" w:eastAsia="黑体" w:cs="黑体"/>
        </w:rPr>
        <w:t>调查研究过程</w:t>
      </w:r>
    </w:p>
    <w:p>
      <w:pPr>
        <w:keepNext w:val="0"/>
        <w:keepLines w:val="0"/>
        <w:pageBreakBefore w:val="0"/>
        <w:kinsoku/>
        <w:wordWrap/>
        <w:overflowPunct/>
        <w:topLinePunct w:val="0"/>
        <w:bidi w:val="0"/>
        <w:adjustRightInd/>
        <w:spacing w:line="360" w:lineRule="exact"/>
        <w:ind w:firstLine="420"/>
        <w:rPr>
          <w:rFonts w:hint="default" w:eastAsia="宋体"/>
          <w:lang w:val="en-US" w:eastAsia="zh-CN"/>
        </w:rPr>
      </w:pPr>
      <w:r>
        <w:rPr>
          <w:rFonts w:hint="eastAsia"/>
          <w:lang w:val="en-US" w:eastAsia="zh-CN"/>
        </w:rPr>
        <w:t>中海油</w:t>
      </w:r>
      <w:r>
        <w:rPr>
          <w:rFonts w:hint="eastAsia"/>
        </w:rPr>
        <w:t>天津院</w:t>
      </w:r>
      <w:r>
        <w:t>接到上级部门下达的</w:t>
      </w:r>
      <w:r>
        <w:rPr>
          <w:rFonts w:hint="eastAsia"/>
        </w:rPr>
        <w:t>制定《</w:t>
      </w:r>
      <w:r>
        <w:rPr>
          <w:rFonts w:hint="eastAsia"/>
          <w:lang w:val="en-US" w:eastAsia="zh-CN"/>
        </w:rPr>
        <w:t>钠离子电池用铜铁锰酸钠</w:t>
      </w:r>
      <w:r>
        <w:rPr>
          <w:rFonts w:hint="eastAsia"/>
        </w:rPr>
        <w:t>》化工行业</w:t>
      </w:r>
      <w:r>
        <w:t>标准计划后，</w:t>
      </w:r>
      <w:r>
        <w:rPr>
          <w:rFonts w:hint="eastAsia"/>
        </w:rPr>
        <w:t>于2</w:t>
      </w:r>
      <w:r>
        <w:t>02</w:t>
      </w:r>
      <w:r>
        <w:rPr>
          <w:rFonts w:hint="eastAsia"/>
          <w:lang w:val="en-US" w:eastAsia="zh-CN"/>
        </w:rPr>
        <w:t>4</w:t>
      </w:r>
      <w:r>
        <w:rPr>
          <w:rFonts w:hint="eastAsia"/>
        </w:rPr>
        <w:t>年1</w:t>
      </w:r>
      <w:r>
        <w:rPr>
          <w:rFonts w:hint="eastAsia"/>
          <w:lang w:val="en-US" w:eastAsia="zh-CN"/>
        </w:rPr>
        <w:t>0</w:t>
      </w:r>
      <w:r>
        <w:rPr>
          <w:rFonts w:hint="eastAsia"/>
        </w:rPr>
        <w:t>月～2</w:t>
      </w:r>
      <w:r>
        <w:t>02</w:t>
      </w:r>
      <w:r>
        <w:rPr>
          <w:rFonts w:hint="eastAsia"/>
          <w:lang w:val="en-US" w:eastAsia="zh-CN"/>
        </w:rPr>
        <w:t>4</w:t>
      </w:r>
      <w:r>
        <w:rPr>
          <w:rFonts w:hint="eastAsia"/>
        </w:rPr>
        <w:t>年</w:t>
      </w:r>
      <w:r>
        <w:rPr>
          <w:rFonts w:hint="eastAsia"/>
          <w:lang w:val="en-US" w:eastAsia="zh-CN"/>
        </w:rPr>
        <w:t>1</w:t>
      </w:r>
      <w:r>
        <w:rPr>
          <w:rFonts w:hint="eastAsia"/>
        </w:rPr>
        <w:t>2月</w:t>
      </w:r>
      <w:r>
        <w:rPr>
          <w:rFonts w:hint="eastAsia" w:ascii="宋体" w:hAnsi="宋体"/>
        </w:rPr>
        <w:t>进行了调研及资料准备工作。首先</w:t>
      </w:r>
      <w:r>
        <w:t>查阅了国内外标准及有关技术资料，并向生产、使用单位发函进行调查</w:t>
      </w:r>
      <w:r>
        <w:rPr>
          <w:rFonts w:hint="eastAsia"/>
        </w:rPr>
        <w:t>，</w:t>
      </w:r>
      <w:r>
        <w:t>广泛征求对标准</w:t>
      </w:r>
      <w:r>
        <w:rPr>
          <w:rFonts w:hint="eastAsia"/>
        </w:rPr>
        <w:t>修订</w:t>
      </w:r>
      <w:r>
        <w:t>工作的意见。</w:t>
      </w:r>
      <w:r>
        <w:rPr>
          <w:rFonts w:hint="eastAsia"/>
          <w:lang w:val="en-US" w:eastAsia="zh-CN"/>
        </w:rPr>
        <w:t>2025年1月21日通过线上腾讯会议召开了工作组讨论会，会上中海油天津院介绍了工作组讨论稿，与会代表就稿件中的技术内容进行讨论，初步确定了技术内容和后期试验安排。</w:t>
      </w:r>
      <w:r>
        <w:t>202</w:t>
      </w:r>
      <w:r>
        <w:rPr>
          <w:rFonts w:hint="eastAsia"/>
          <w:lang w:val="en-US" w:eastAsia="zh-CN"/>
        </w:rPr>
        <w:t>5</w:t>
      </w:r>
      <w:r>
        <w:t>年</w:t>
      </w:r>
      <w:r>
        <w:rPr>
          <w:rFonts w:hint="eastAsia"/>
        </w:rPr>
        <w:t>3</w:t>
      </w:r>
      <w:r>
        <w:t>月</w:t>
      </w:r>
      <w:r>
        <w:rPr>
          <w:rFonts w:hint="eastAsia"/>
        </w:rPr>
        <w:t>在</w:t>
      </w:r>
      <w:r>
        <w:rPr>
          <w:rFonts w:hint="eastAsia"/>
          <w:lang w:val="en-US" w:eastAsia="zh-CN"/>
        </w:rPr>
        <w:t>天津</w:t>
      </w:r>
      <w:r>
        <w:rPr>
          <w:rFonts w:hint="eastAsia"/>
        </w:rPr>
        <w:t>市</w:t>
      </w:r>
      <w:r>
        <w:t>召开了标准工作方案会，</w:t>
      </w:r>
      <w:r>
        <w:rPr>
          <w:rFonts w:hint="eastAsia"/>
        </w:rPr>
        <w:t>参加会议的有包括天津院在内的5个单位，</w:t>
      </w:r>
      <w:r>
        <w:t>会上4</w:t>
      </w:r>
      <w:r>
        <w:rPr>
          <w:rFonts w:hint="eastAsia"/>
        </w:rPr>
        <w:t>家</w:t>
      </w:r>
      <w:r>
        <w:t>生产</w:t>
      </w:r>
      <w:r>
        <w:rPr>
          <w:rFonts w:hint="eastAsia"/>
        </w:rPr>
        <w:t>单位</w:t>
      </w:r>
      <w:r>
        <w:t>就各自的</w:t>
      </w:r>
      <w:r>
        <w:rPr>
          <w:rFonts w:hint="eastAsia"/>
        </w:rPr>
        <w:t>产能、</w:t>
      </w:r>
      <w:r>
        <w:t>生产工艺、产品质量和用户</w:t>
      </w:r>
      <w:r>
        <w:rPr>
          <w:rFonts w:hint="eastAsia"/>
        </w:rPr>
        <w:t>使用</w:t>
      </w:r>
      <w:r>
        <w:t>情况进行了介绍。与会代表就此标准的指标项目和指标参数、分析方法及检验规则、包装、贮存、运输等内容进行了深入、细致</w:t>
      </w:r>
      <w:r>
        <w:rPr>
          <w:rFonts w:hint="eastAsia"/>
          <w:lang w:val="en-US" w:eastAsia="zh-CN"/>
        </w:rPr>
        <w:t>地</w:t>
      </w:r>
      <w:r>
        <w:t>讨论，提出了工作方案，并对各项工作任务及工作进度做了详细的安排。</w:t>
      </w:r>
      <w:r>
        <w:rPr>
          <w:rFonts w:hint="eastAsia"/>
        </w:rPr>
        <w:t>会后由天津院编写相应的试验验证方案，发至各生产单位进行试验验证。</w:t>
      </w:r>
      <w:r>
        <w:rPr>
          <w:rFonts w:hint="eastAsia"/>
          <w:lang w:val="en-US" w:eastAsia="zh-CN"/>
        </w:rPr>
        <w:t>2025年4月中海油天津院征集到样品，统一发放样品进行验证试验。</w:t>
      </w:r>
    </w:p>
    <w:p>
      <w:pPr>
        <w:keepNext w:val="0"/>
        <w:keepLines w:val="0"/>
        <w:pageBreakBefore w:val="0"/>
        <w:numPr>
          <w:ilvl w:val="0"/>
          <w:numId w:val="7"/>
        </w:numPr>
        <w:tabs>
          <w:tab w:val="left" w:pos="426"/>
          <w:tab w:val="left" w:pos="709"/>
          <w:tab w:val="left" w:pos="851"/>
          <w:tab w:val="left" w:pos="1134"/>
        </w:tabs>
        <w:kinsoku/>
        <w:wordWrap/>
        <w:overflowPunct/>
        <w:topLinePunct w:val="0"/>
        <w:bidi w:val="0"/>
        <w:adjustRightInd/>
        <w:spacing w:before="78" w:beforeLines="25" w:after="78" w:afterLines="25" w:line="360" w:lineRule="exact"/>
        <w:ind w:left="425" w:firstLine="0"/>
        <w:rPr>
          <w:rFonts w:hint="eastAsia" w:ascii="黑体" w:hAnsi="黑体" w:eastAsia="黑体" w:cs="黑体"/>
        </w:rPr>
      </w:pPr>
      <w:r>
        <w:rPr>
          <w:rFonts w:hint="eastAsia" w:ascii="黑体" w:hAnsi="黑体" w:eastAsia="黑体" w:cs="黑体"/>
        </w:rPr>
        <w:t>验证过程</w:t>
      </w:r>
    </w:p>
    <w:p>
      <w:pPr>
        <w:keepNext w:val="0"/>
        <w:keepLines w:val="0"/>
        <w:pageBreakBefore w:val="0"/>
        <w:kinsoku/>
        <w:wordWrap/>
        <w:overflowPunct/>
        <w:topLinePunct w:val="0"/>
        <w:bidi w:val="0"/>
        <w:adjustRightInd/>
        <w:spacing w:line="360" w:lineRule="exact"/>
        <w:ind w:firstLine="420"/>
        <w:rPr>
          <w:rFonts w:hint="eastAsia"/>
          <w:bCs/>
          <w:szCs w:val="20"/>
        </w:rPr>
      </w:pPr>
      <w:r>
        <w:rPr>
          <w:rFonts w:hint="eastAsia" w:ascii="宋体" w:hAnsi="宋体" w:cs="宋体"/>
        </w:rPr>
        <w:t>起草工作组成员</w:t>
      </w:r>
      <w:r>
        <w:rPr>
          <w:rFonts w:hint="eastAsia" w:ascii="宋体" w:hAnsi="宋体" w:cs="宋体"/>
          <w:lang w:val="en-US" w:eastAsia="zh-CN"/>
        </w:rPr>
        <w:t>及其他生产企业使用统一样品，</w:t>
      </w:r>
      <w:r>
        <w:rPr>
          <w:rFonts w:hint="eastAsia" w:ascii="宋体" w:hAnsi="宋体" w:cs="宋体"/>
        </w:rPr>
        <w:t>根据天津院提出</w:t>
      </w:r>
      <w:r>
        <w:rPr>
          <w:rFonts w:hint="eastAsia"/>
        </w:rPr>
        <w:t>试验验证方案进行了试验验证。</w:t>
      </w:r>
      <w:r>
        <w:rPr>
          <w:rFonts w:hint="eastAsia"/>
          <w:bCs/>
          <w:szCs w:val="20"/>
        </w:rPr>
        <w:t>对比验证数据</w:t>
      </w:r>
      <w:r>
        <w:rPr>
          <w:rFonts w:hint="eastAsia"/>
          <w:bCs/>
          <w:szCs w:val="20"/>
          <w:lang w:val="en-US" w:eastAsia="zh-CN"/>
        </w:rPr>
        <w:t>正在收集和整理中</w:t>
      </w:r>
      <w:r>
        <w:rPr>
          <w:rFonts w:hint="eastAsia"/>
          <w:bCs/>
          <w:szCs w:val="20"/>
        </w:rPr>
        <w:t>。</w:t>
      </w:r>
    </w:p>
    <w:p>
      <w:pPr>
        <w:keepNext w:val="0"/>
        <w:keepLines w:val="0"/>
        <w:pageBreakBefore w:val="0"/>
        <w:numPr>
          <w:ilvl w:val="0"/>
          <w:numId w:val="6"/>
        </w:numPr>
        <w:kinsoku/>
        <w:wordWrap/>
        <w:overflowPunct/>
        <w:topLinePunct w:val="0"/>
        <w:bidi w:val="0"/>
        <w:adjustRightInd/>
        <w:spacing w:before="78" w:beforeLines="25" w:after="78" w:afterLines="25" w:line="360" w:lineRule="exact"/>
        <w:ind w:hanging="295"/>
        <w:rPr>
          <w:rFonts w:hint="eastAsia" w:ascii="黑体" w:hAnsi="黑体" w:eastAsia="黑体" w:cs="黑体"/>
        </w:rPr>
      </w:pPr>
      <w:r>
        <w:rPr>
          <w:rFonts w:hint="eastAsia" w:ascii="黑体" w:hAnsi="黑体" w:eastAsia="黑体" w:cs="黑体"/>
        </w:rPr>
        <w:t>标准征求意见阶段（202</w:t>
      </w:r>
      <w:r>
        <w:rPr>
          <w:rFonts w:hint="eastAsia" w:ascii="黑体" w:hAnsi="黑体" w:eastAsia="黑体" w:cs="黑体"/>
          <w:lang w:val="en-US" w:eastAsia="zh-CN"/>
        </w:rPr>
        <w:t>5</w:t>
      </w:r>
      <w:r>
        <w:rPr>
          <w:rFonts w:hint="eastAsia" w:ascii="黑体" w:hAnsi="黑体" w:eastAsia="黑体" w:cs="黑体"/>
        </w:rPr>
        <w:t>.</w:t>
      </w:r>
      <w:r>
        <w:rPr>
          <w:rFonts w:hint="eastAsia" w:ascii="黑体" w:hAnsi="黑体" w:eastAsia="黑体" w:cs="黑体"/>
          <w:lang w:val="en-US" w:eastAsia="zh-CN"/>
        </w:rPr>
        <w:t>5</w:t>
      </w:r>
      <w:r>
        <w:rPr>
          <w:rFonts w:hint="eastAsia" w:ascii="黑体" w:hAnsi="黑体" w:eastAsia="黑体" w:cs="黑体"/>
        </w:rPr>
        <w:t>～2021.</w:t>
      </w:r>
      <w:r>
        <w:rPr>
          <w:rFonts w:hint="eastAsia" w:ascii="黑体" w:hAnsi="黑体" w:eastAsia="黑体" w:cs="黑体"/>
          <w:lang w:val="en-US" w:eastAsia="zh-CN"/>
        </w:rPr>
        <w:t>6</w:t>
      </w:r>
      <w:r>
        <w:rPr>
          <w:rFonts w:hint="eastAsia" w:ascii="黑体" w:hAnsi="黑体" w:eastAsia="黑体" w:cs="黑体"/>
        </w:rPr>
        <w:t>）</w:t>
      </w:r>
    </w:p>
    <w:p>
      <w:pPr>
        <w:keepNext w:val="0"/>
        <w:keepLines w:val="0"/>
        <w:pageBreakBefore w:val="0"/>
        <w:numPr>
          <w:ilvl w:val="0"/>
          <w:numId w:val="8"/>
        </w:numPr>
        <w:tabs>
          <w:tab w:val="left" w:pos="426"/>
          <w:tab w:val="left" w:pos="709"/>
          <w:tab w:val="left" w:pos="851"/>
          <w:tab w:val="left" w:pos="1134"/>
        </w:tabs>
        <w:kinsoku/>
        <w:wordWrap/>
        <w:overflowPunct/>
        <w:topLinePunct w:val="0"/>
        <w:bidi w:val="0"/>
        <w:adjustRightInd/>
        <w:spacing w:before="78" w:beforeLines="25" w:after="78" w:afterLines="25" w:line="360" w:lineRule="exact"/>
        <w:ind w:left="425" w:firstLine="0"/>
        <w:rPr>
          <w:rFonts w:hint="eastAsia" w:ascii="黑体" w:hAnsi="黑体" w:eastAsia="黑体" w:cs="黑体"/>
        </w:rPr>
      </w:pPr>
      <w:r>
        <w:rPr>
          <w:rFonts w:hint="eastAsia" w:ascii="黑体" w:hAnsi="黑体" w:eastAsia="黑体" w:cs="黑体"/>
        </w:rPr>
        <w:t>广泛征求意见</w:t>
      </w:r>
    </w:p>
    <w:p>
      <w:pPr>
        <w:keepNext w:val="0"/>
        <w:keepLines w:val="0"/>
        <w:pageBreakBefore w:val="0"/>
        <w:tabs>
          <w:tab w:val="left" w:pos="600"/>
        </w:tabs>
        <w:kinsoku/>
        <w:wordWrap/>
        <w:overflowPunct/>
        <w:topLinePunct w:val="0"/>
        <w:bidi w:val="0"/>
        <w:adjustRightInd/>
        <w:spacing w:line="360" w:lineRule="exact"/>
        <w:ind w:firstLine="420" w:firstLineChars="200"/>
        <w:rPr>
          <w:rFonts w:hint="eastAsia"/>
          <w:bCs/>
          <w:szCs w:val="20"/>
        </w:rPr>
      </w:pPr>
      <w:r>
        <w:rPr>
          <w:rFonts w:hint="eastAsia"/>
          <w:bCs/>
          <w:szCs w:val="20"/>
        </w:rPr>
        <w:t>在起草阶段工作基础上，由负责起草单位对工作组讨论稿进行了进一步</w:t>
      </w:r>
      <w:r>
        <w:rPr>
          <w:rFonts w:hint="eastAsia"/>
          <w:bCs/>
          <w:szCs w:val="20"/>
          <w:lang w:val="en-US" w:eastAsia="zh-CN"/>
        </w:rPr>
        <w:t>地</w:t>
      </w:r>
      <w:r>
        <w:rPr>
          <w:rFonts w:hint="eastAsia"/>
          <w:bCs/>
          <w:szCs w:val="20"/>
        </w:rPr>
        <w:t>讨论和修改，其后提出标准草案征求意见稿及编制说明。于202</w:t>
      </w:r>
      <w:r>
        <w:rPr>
          <w:rFonts w:hint="eastAsia"/>
          <w:bCs/>
          <w:szCs w:val="20"/>
          <w:lang w:val="en-US" w:eastAsia="zh-CN"/>
        </w:rPr>
        <w:t>5</w:t>
      </w:r>
      <w:r>
        <w:rPr>
          <w:rFonts w:hint="eastAsia"/>
          <w:bCs/>
          <w:szCs w:val="20"/>
        </w:rPr>
        <w:t>年</w:t>
      </w:r>
      <w:r>
        <w:rPr>
          <w:rFonts w:hint="eastAsia"/>
          <w:bCs/>
          <w:szCs w:val="20"/>
          <w:lang w:val="en-US" w:eastAsia="zh-CN"/>
        </w:rPr>
        <w:t>5</w:t>
      </w:r>
      <w:r>
        <w:rPr>
          <w:rFonts w:hint="eastAsia"/>
          <w:bCs/>
          <w:szCs w:val="20"/>
        </w:rPr>
        <w:t>月开始向无机化工分技术委员会的委员、生产、使用及检验机构等单位发送了电子文件征求意见稿及编制说明，并在</w:t>
      </w:r>
      <w:r>
        <w:rPr>
          <w:rFonts w:hint="eastAsia"/>
          <w:bCs/>
          <w:szCs w:val="20"/>
          <w:lang w:val="en-US" w:eastAsia="zh-CN"/>
        </w:rPr>
        <w:t>中海油</w:t>
      </w:r>
      <w:r>
        <w:rPr>
          <w:rFonts w:hint="eastAsia"/>
          <w:bCs/>
          <w:szCs w:val="20"/>
        </w:rPr>
        <w:t>天津院官网上（www.trici.com.cn）公开征求意见。</w:t>
      </w:r>
    </w:p>
    <w:p>
      <w:pPr>
        <w:keepNext w:val="0"/>
        <w:keepLines w:val="0"/>
        <w:pageBreakBefore w:val="0"/>
        <w:numPr>
          <w:ilvl w:val="0"/>
          <w:numId w:val="3"/>
        </w:numPr>
        <w:kinsoku/>
        <w:wordWrap/>
        <w:overflowPunct/>
        <w:topLinePunct w:val="0"/>
        <w:bidi w:val="0"/>
        <w:adjustRightInd/>
        <w:spacing w:before="156" w:beforeLines="50" w:after="156" w:afterLines="50" w:line="360" w:lineRule="exact"/>
        <w:ind w:firstLine="0"/>
        <w:rPr>
          <w:rFonts w:hint="eastAsia" w:ascii="黑体" w:hAnsi="宋体" w:eastAsia="黑体"/>
        </w:rPr>
      </w:pPr>
      <w:r>
        <w:rPr>
          <w:rFonts w:hint="eastAsia" w:ascii="黑体" w:hAnsi="宋体" w:eastAsia="黑体"/>
        </w:rPr>
        <w:t>制定标准的原则和依据</w:t>
      </w:r>
    </w:p>
    <w:p>
      <w:pPr>
        <w:keepNext w:val="0"/>
        <w:keepLines w:val="0"/>
        <w:pageBreakBefore w:val="0"/>
        <w:numPr>
          <w:ilvl w:val="0"/>
          <w:numId w:val="9"/>
        </w:numPr>
        <w:kinsoku/>
        <w:wordWrap/>
        <w:overflowPunct/>
        <w:topLinePunct w:val="0"/>
        <w:bidi w:val="0"/>
        <w:adjustRightInd/>
        <w:spacing w:before="78" w:beforeLines="25" w:after="78" w:afterLines="25" w:line="360" w:lineRule="exact"/>
        <w:ind w:hanging="295"/>
        <w:rPr>
          <w:rFonts w:hint="eastAsia" w:ascii="黑体" w:hAnsi="黑体" w:eastAsia="黑体" w:cs="黑体"/>
        </w:rPr>
      </w:pPr>
      <w:r>
        <w:rPr>
          <w:rFonts w:hint="eastAsia" w:ascii="黑体" w:hAnsi="黑体" w:eastAsia="黑体" w:cs="黑体"/>
        </w:rPr>
        <w:t>编制原则</w:t>
      </w:r>
    </w:p>
    <w:p>
      <w:pPr>
        <w:keepNext w:val="0"/>
        <w:keepLines w:val="0"/>
        <w:pageBreakBefore w:val="0"/>
        <w:numPr>
          <w:ilvl w:val="0"/>
          <w:numId w:val="10"/>
        </w:numPr>
        <w:kinsoku/>
        <w:wordWrap/>
        <w:overflowPunct/>
        <w:topLinePunct w:val="0"/>
        <w:bidi w:val="0"/>
        <w:adjustRightInd/>
        <w:spacing w:line="360" w:lineRule="exact"/>
        <w:ind w:hanging="5"/>
      </w:pPr>
      <w:r>
        <w:t xml:space="preserve"> </w:t>
      </w:r>
      <w:r>
        <w:rPr>
          <w:rFonts w:hint="eastAsia"/>
        </w:rPr>
        <w:t>积极采用国际标准和国外先进标准；</w:t>
      </w:r>
    </w:p>
    <w:p>
      <w:pPr>
        <w:keepNext w:val="0"/>
        <w:keepLines w:val="0"/>
        <w:pageBreakBefore w:val="0"/>
        <w:numPr>
          <w:ilvl w:val="0"/>
          <w:numId w:val="10"/>
        </w:numPr>
        <w:kinsoku/>
        <w:wordWrap/>
        <w:overflowPunct/>
        <w:topLinePunct w:val="0"/>
        <w:bidi w:val="0"/>
        <w:adjustRightInd/>
        <w:spacing w:line="360" w:lineRule="exact"/>
        <w:ind w:hanging="5"/>
      </w:pPr>
      <w:r>
        <w:rPr>
          <w:rFonts w:hint="eastAsia"/>
        </w:rPr>
        <w:t>有利于促进技术进步，提高产品质量；</w:t>
      </w:r>
    </w:p>
    <w:p>
      <w:pPr>
        <w:keepNext w:val="0"/>
        <w:keepLines w:val="0"/>
        <w:pageBreakBefore w:val="0"/>
        <w:numPr>
          <w:ilvl w:val="0"/>
          <w:numId w:val="10"/>
        </w:numPr>
        <w:kinsoku/>
        <w:wordWrap/>
        <w:overflowPunct/>
        <w:topLinePunct w:val="0"/>
        <w:bidi w:val="0"/>
        <w:adjustRightInd/>
        <w:spacing w:line="360" w:lineRule="exact"/>
        <w:ind w:hanging="5"/>
      </w:pPr>
      <w:r>
        <w:rPr>
          <w:rFonts w:hint="eastAsia"/>
        </w:rPr>
        <w:t>有利于合理利用资源，提高经济效益；</w:t>
      </w:r>
    </w:p>
    <w:p>
      <w:pPr>
        <w:keepNext w:val="0"/>
        <w:keepLines w:val="0"/>
        <w:pageBreakBefore w:val="0"/>
        <w:numPr>
          <w:ilvl w:val="0"/>
          <w:numId w:val="10"/>
        </w:numPr>
        <w:kinsoku/>
        <w:wordWrap/>
        <w:overflowPunct/>
        <w:topLinePunct w:val="0"/>
        <w:bidi w:val="0"/>
        <w:adjustRightInd/>
        <w:spacing w:line="360" w:lineRule="exact"/>
        <w:ind w:hanging="5"/>
      </w:pPr>
      <w:r>
        <w:rPr>
          <w:rFonts w:hint="eastAsia"/>
        </w:rPr>
        <w:t>符合用户要求，保护消费者利益，促进对外贸易。</w:t>
      </w:r>
    </w:p>
    <w:p>
      <w:pPr>
        <w:keepNext w:val="0"/>
        <w:keepLines w:val="0"/>
        <w:pageBreakBefore w:val="0"/>
        <w:numPr>
          <w:ilvl w:val="0"/>
          <w:numId w:val="9"/>
        </w:numPr>
        <w:kinsoku/>
        <w:wordWrap/>
        <w:overflowPunct/>
        <w:topLinePunct w:val="0"/>
        <w:bidi w:val="0"/>
        <w:adjustRightInd/>
        <w:spacing w:before="78" w:beforeLines="25" w:after="78" w:afterLines="25" w:line="360" w:lineRule="exact"/>
        <w:ind w:hanging="295"/>
        <w:rPr>
          <w:rFonts w:hint="eastAsia" w:ascii="黑体" w:hAnsi="黑体" w:eastAsia="黑体" w:cs="黑体"/>
        </w:rPr>
      </w:pPr>
      <w:r>
        <w:rPr>
          <w:rFonts w:hint="eastAsia" w:ascii="黑体" w:hAnsi="黑体" w:eastAsia="黑体" w:cs="黑体"/>
        </w:rPr>
        <w:t xml:space="preserve"> 编制依据</w:t>
      </w:r>
    </w:p>
    <w:p>
      <w:pPr>
        <w:keepNext w:val="0"/>
        <w:keepLines w:val="0"/>
        <w:pageBreakBefore w:val="0"/>
        <w:numPr>
          <w:ilvl w:val="0"/>
          <w:numId w:val="11"/>
        </w:numPr>
        <w:kinsoku/>
        <w:wordWrap/>
        <w:overflowPunct/>
        <w:topLinePunct w:val="0"/>
        <w:bidi w:val="0"/>
        <w:adjustRightInd/>
        <w:spacing w:line="360" w:lineRule="exact"/>
        <w:ind w:hanging="5"/>
        <w:rPr>
          <w:rFonts w:hint="eastAsia"/>
        </w:rPr>
      </w:pPr>
      <w:r>
        <w:rPr>
          <w:rFonts w:hint="eastAsia"/>
        </w:rPr>
        <w:t>国内企业产品质量规格</w:t>
      </w:r>
      <w:r>
        <w:t>（见附表</w:t>
      </w:r>
      <w:r>
        <w:rPr>
          <w:rFonts w:hint="eastAsia"/>
          <w:lang w:val="en-US" w:eastAsia="zh-CN"/>
        </w:rPr>
        <w:t>1</w:t>
      </w:r>
      <w:r>
        <w:t>）</w:t>
      </w:r>
      <w:r>
        <w:rPr>
          <w:rFonts w:hint="eastAsia"/>
        </w:rPr>
        <w:t>；</w:t>
      </w:r>
    </w:p>
    <w:p>
      <w:pPr>
        <w:keepNext w:val="0"/>
        <w:keepLines w:val="0"/>
        <w:pageBreakBefore w:val="0"/>
        <w:numPr>
          <w:ilvl w:val="0"/>
          <w:numId w:val="11"/>
        </w:numPr>
        <w:kinsoku/>
        <w:wordWrap/>
        <w:overflowPunct/>
        <w:topLinePunct w:val="0"/>
        <w:bidi w:val="0"/>
        <w:adjustRightInd/>
        <w:spacing w:line="360" w:lineRule="exact"/>
        <w:ind w:hanging="5"/>
        <w:rPr>
          <w:rFonts w:hint="eastAsia"/>
        </w:rPr>
      </w:pPr>
      <w:r>
        <w:rPr>
          <w:rFonts w:hint="eastAsia"/>
        </w:rPr>
        <w:t>国内生产厂质量月报；</w:t>
      </w:r>
    </w:p>
    <w:p>
      <w:pPr>
        <w:keepNext w:val="0"/>
        <w:keepLines w:val="0"/>
        <w:pageBreakBefore w:val="0"/>
        <w:numPr>
          <w:ilvl w:val="0"/>
          <w:numId w:val="11"/>
        </w:numPr>
        <w:kinsoku/>
        <w:wordWrap/>
        <w:overflowPunct/>
        <w:topLinePunct w:val="0"/>
        <w:bidi w:val="0"/>
        <w:adjustRightInd/>
        <w:spacing w:line="360" w:lineRule="exact"/>
        <w:ind w:hanging="5"/>
      </w:pPr>
      <w:r>
        <w:rPr>
          <w:rFonts w:hint="eastAsia"/>
        </w:rPr>
        <w:t>编制过程中的验证数据</w:t>
      </w:r>
      <w:r>
        <w:t>（见附表</w:t>
      </w:r>
      <w:r>
        <w:rPr>
          <w:rFonts w:hint="eastAsia"/>
          <w:lang w:val="en-US" w:eastAsia="zh-CN"/>
        </w:rPr>
        <w:t>3</w:t>
      </w:r>
      <w:r>
        <w:t>）</w:t>
      </w:r>
      <w:r>
        <w:rPr>
          <w:rFonts w:hint="eastAsia"/>
        </w:rPr>
        <w:t>。</w:t>
      </w:r>
    </w:p>
    <w:p>
      <w:pPr>
        <w:keepNext w:val="0"/>
        <w:keepLines w:val="0"/>
        <w:pageBreakBefore w:val="0"/>
        <w:numPr>
          <w:ilvl w:val="0"/>
          <w:numId w:val="3"/>
        </w:numPr>
        <w:kinsoku/>
        <w:wordWrap/>
        <w:overflowPunct/>
        <w:topLinePunct w:val="0"/>
        <w:bidi w:val="0"/>
        <w:adjustRightInd/>
        <w:spacing w:before="156" w:beforeLines="50" w:after="156" w:afterLines="50" w:line="360" w:lineRule="exact"/>
        <w:ind w:firstLine="0"/>
        <w:rPr>
          <w:rFonts w:hint="eastAsia" w:ascii="黑体" w:hAnsi="宋体" w:eastAsia="黑体"/>
        </w:rPr>
      </w:pPr>
      <w:r>
        <w:rPr>
          <w:rFonts w:hint="eastAsia" w:ascii="黑体" w:hAnsi="宋体" w:eastAsia="黑体"/>
        </w:rPr>
        <w:t>国内外标准及对比</w:t>
      </w:r>
    </w:p>
    <w:p>
      <w:pPr>
        <w:keepNext w:val="0"/>
        <w:keepLines w:val="0"/>
        <w:pageBreakBefore w:val="0"/>
        <w:kinsoku/>
        <w:wordWrap/>
        <w:overflowPunct/>
        <w:topLinePunct w:val="0"/>
        <w:bidi w:val="0"/>
        <w:adjustRightInd/>
        <w:spacing w:line="360" w:lineRule="exact"/>
        <w:ind w:firstLine="435"/>
        <w:rPr>
          <w:rFonts w:hint="eastAsia"/>
        </w:rPr>
      </w:pPr>
      <w:r>
        <w:rPr>
          <w:rFonts w:hint="eastAsia"/>
        </w:rPr>
        <w:t>目前没有查到对应的国外产品标准，只查到国内</w:t>
      </w:r>
      <w:r>
        <w:rPr>
          <w:rFonts w:hint="eastAsia"/>
          <w:lang w:val="en-US" w:eastAsia="zh-CN"/>
        </w:rPr>
        <w:t>企业发布的质量数据、团体标准作为参考。</w:t>
      </w:r>
      <w:r>
        <w:rPr>
          <w:rFonts w:hint="eastAsia"/>
        </w:rPr>
        <w:t>国内标准及企业标准指标对比见附表1</w:t>
      </w:r>
      <w:r>
        <w:rPr>
          <w:rFonts w:hint="eastAsia"/>
          <w:lang w:eastAsia="zh-CN"/>
        </w:rPr>
        <w:t>，</w:t>
      </w:r>
      <w:r>
        <w:rPr>
          <w:rFonts w:hint="eastAsia"/>
          <w:lang w:val="en-US" w:eastAsia="zh-CN"/>
        </w:rPr>
        <w:t>试验方法对比表见附表2</w:t>
      </w:r>
      <w:r>
        <w:rPr>
          <w:rFonts w:hint="eastAsia"/>
        </w:rPr>
        <w:t>。</w:t>
      </w:r>
    </w:p>
    <w:p>
      <w:pPr>
        <w:keepNext w:val="0"/>
        <w:keepLines w:val="0"/>
        <w:pageBreakBefore w:val="0"/>
        <w:numPr>
          <w:ilvl w:val="0"/>
          <w:numId w:val="3"/>
        </w:numPr>
        <w:kinsoku/>
        <w:wordWrap/>
        <w:overflowPunct/>
        <w:topLinePunct w:val="0"/>
        <w:bidi w:val="0"/>
        <w:adjustRightInd/>
        <w:spacing w:before="156" w:beforeLines="50" w:after="156" w:afterLines="50" w:line="360" w:lineRule="exact"/>
        <w:ind w:firstLine="0"/>
        <w:rPr>
          <w:rFonts w:ascii="黑体" w:hAnsi="宋体" w:eastAsia="黑体"/>
        </w:rPr>
      </w:pPr>
      <w:r>
        <w:rPr>
          <w:rFonts w:hint="eastAsia" w:ascii="黑体" w:hAnsi="宋体" w:eastAsia="黑体"/>
        </w:rPr>
        <w:t>标准制定主要内容及确定依据</w:t>
      </w:r>
    </w:p>
    <w:p>
      <w:pPr>
        <w:keepNext w:val="0"/>
        <w:keepLines w:val="0"/>
        <w:pageBreakBefore w:val="0"/>
        <w:numPr>
          <w:ilvl w:val="0"/>
          <w:numId w:val="12"/>
        </w:numPr>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范围</w:t>
      </w:r>
    </w:p>
    <w:p>
      <w:pPr>
        <w:keepNext w:val="0"/>
        <w:keepLines w:val="0"/>
        <w:pageBreakBefore w:val="0"/>
        <w:kinsoku/>
        <w:wordWrap/>
        <w:overflowPunct/>
        <w:topLinePunct w:val="0"/>
        <w:bidi w:val="0"/>
        <w:adjustRightInd/>
        <w:spacing w:line="360" w:lineRule="exact"/>
        <w:ind w:firstLine="420" w:firstLineChars="200"/>
        <w:rPr>
          <w:rFonts w:ascii="宋体" w:hAnsi="宋体"/>
        </w:rPr>
      </w:pPr>
      <w:r>
        <w:rPr>
          <w:rFonts w:hint="eastAsia" w:ascii="宋体" w:hAnsi="宋体"/>
        </w:rPr>
        <w:t>根据本标准规定的内容和</w:t>
      </w:r>
      <w:r>
        <w:rPr>
          <w:rFonts w:hint="eastAsia" w:ascii="宋体" w:hAnsi="宋体"/>
          <w:lang w:eastAsia="zh-CN"/>
        </w:rPr>
        <w:t>铜铁锰酸钠</w:t>
      </w:r>
      <w:r>
        <w:rPr>
          <w:rFonts w:hint="eastAsia" w:ascii="宋体" w:hAnsi="宋体"/>
        </w:rPr>
        <w:t>的用途，确定本标准范围的内容为：</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本文件规定了钠离子电池用铜铁锰酸钠的要求、</w:t>
      </w:r>
      <w:r>
        <w:rPr>
          <w:rFonts w:hint="eastAsia" w:ascii="Times New Roman" w:hAnsi="宋体" w:cs="黑体"/>
          <w:color w:val="auto"/>
          <w:highlight w:val="none"/>
        </w:rPr>
        <w:t>试验方法、检验规则、标志和随行文件以及包装、运输、贮存。</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本文件适用于钠离子电池用铜铁锰酸钠。</w:t>
      </w:r>
    </w:p>
    <w:p>
      <w:pPr>
        <w:keepNext w:val="0"/>
        <w:keepLines w:val="0"/>
        <w:pageBreakBefore w:val="0"/>
        <w:widowControl/>
        <w:kinsoku/>
        <w:wordWrap/>
        <w:overflowPunct/>
        <w:topLinePunct w:val="0"/>
        <w:autoSpaceDE w:val="0"/>
        <w:autoSpaceDN w:val="0"/>
        <w:bidi w:val="0"/>
        <w:adjustRightInd/>
        <w:spacing w:line="360" w:lineRule="exact"/>
        <w:ind w:firstLine="360" w:firstLineChars="200"/>
        <w:rPr>
          <w:rFonts w:ascii="Times New Roman" w:hAnsi="Times New Roman"/>
          <w:color w:val="auto"/>
          <w:kern w:val="0"/>
          <w:sz w:val="18"/>
          <w:szCs w:val="18"/>
          <w:highlight w:val="none"/>
        </w:rPr>
      </w:pPr>
      <w:r>
        <w:rPr>
          <w:rFonts w:hint="eastAsia" w:ascii="黑体" w:hAnsi="黑体" w:eastAsia="黑体"/>
          <w:color w:val="auto"/>
          <w:kern w:val="0"/>
          <w:sz w:val="18"/>
          <w:szCs w:val="18"/>
          <w:highlight w:val="none"/>
        </w:rPr>
        <w:t>注：</w:t>
      </w:r>
      <w:r>
        <w:rPr>
          <w:rFonts w:hint="eastAsia" w:ascii="Times New Roman" w:hAnsi="Times New Roman"/>
          <w:color w:val="auto"/>
          <w:kern w:val="0"/>
          <w:sz w:val="18"/>
          <w:szCs w:val="18"/>
          <w:highlight w:val="none"/>
        </w:rPr>
        <w:t>该产品主要作为钠离子电池的正极材料。</w:t>
      </w:r>
    </w:p>
    <w:p>
      <w:pPr>
        <w:keepNext w:val="0"/>
        <w:keepLines w:val="0"/>
        <w:pageBreakBefore w:val="0"/>
        <w:numPr>
          <w:ilvl w:val="0"/>
          <w:numId w:val="12"/>
        </w:numPr>
        <w:kinsoku/>
        <w:wordWrap/>
        <w:overflowPunct/>
        <w:topLinePunct w:val="0"/>
        <w:bidi w:val="0"/>
        <w:adjustRightInd/>
        <w:spacing w:before="78" w:beforeLines="25" w:after="78" w:afterLines="25" w:line="360" w:lineRule="exact"/>
        <w:ind w:left="0" w:leftChars="0" w:firstLine="0" w:firstLineChars="0"/>
        <w:rPr>
          <w:rFonts w:hint="eastAsia" w:ascii="黑体" w:hAnsi="宋体" w:eastAsia="黑体"/>
        </w:rPr>
      </w:pPr>
      <w:r>
        <w:rPr>
          <w:rFonts w:hint="eastAsia" w:ascii="黑体" w:hAnsi="宋体" w:eastAsia="黑体"/>
        </w:rPr>
        <w:t>术语和定义</w:t>
      </w:r>
    </w:p>
    <w:p>
      <w:pPr>
        <w:keepNext w:val="0"/>
        <w:keepLines w:val="0"/>
        <w:pageBreakBefore w:val="0"/>
        <w:numPr>
          <w:ilvl w:val="0"/>
          <w:numId w:val="0"/>
        </w:numPr>
        <w:kinsoku/>
        <w:wordWrap/>
        <w:overflowPunct/>
        <w:topLinePunct w:val="0"/>
        <w:bidi w:val="0"/>
        <w:adjustRightInd/>
        <w:spacing w:before="78" w:beforeLines="25" w:after="78" w:afterLines="25" w:line="360" w:lineRule="exact"/>
        <w:ind w:leftChars="0" w:firstLine="420" w:firstLineChars="200"/>
        <w:rPr>
          <w:rFonts w:hint="eastAsia" w:ascii="黑体" w:hAnsi="宋体" w:eastAsia="黑体"/>
        </w:rPr>
      </w:pPr>
      <w:r>
        <w:rPr>
          <w:rFonts w:hint="eastAsia"/>
          <w:color w:val="auto"/>
          <w:highlight w:val="none"/>
        </w:rPr>
        <w:t>本文件没有需要界定的术语和定义</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3、要求</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3.1  指标项目的设置</w:t>
      </w:r>
    </w:p>
    <w:p>
      <w:pPr>
        <w:keepNext w:val="0"/>
        <w:keepLines w:val="0"/>
        <w:pageBreakBefore w:val="0"/>
        <w:numPr>
          <w:ilvl w:val="0"/>
          <w:numId w:val="0"/>
        </w:numPr>
        <w:kinsoku/>
        <w:wordWrap/>
        <w:overflowPunct/>
        <w:topLinePunct w:val="0"/>
        <w:bidi w:val="0"/>
        <w:adjustRightInd/>
        <w:spacing w:before="78" w:beforeLines="25" w:after="78" w:afterLines="25" w:line="360" w:lineRule="exact"/>
        <w:ind w:firstLine="420" w:firstLineChars="200"/>
        <w:rPr>
          <w:rFonts w:hint="eastAsia"/>
          <w:szCs w:val="28"/>
          <w:lang w:val="en-US" w:eastAsia="zh-CN"/>
        </w:rPr>
      </w:pPr>
      <w:r>
        <w:rPr>
          <w:rFonts w:hint="eastAsia"/>
          <w:szCs w:val="28"/>
        </w:rPr>
        <w:t>本标准根据市场现有的</w:t>
      </w:r>
      <w:r>
        <w:rPr>
          <w:rFonts w:hint="eastAsia"/>
          <w:szCs w:val="28"/>
          <w:lang w:eastAsia="zh-CN"/>
        </w:rPr>
        <w:t>铜铁锰酸钠</w:t>
      </w:r>
      <w:r>
        <w:rPr>
          <w:rFonts w:hint="eastAsia"/>
          <w:szCs w:val="28"/>
        </w:rPr>
        <w:t>，规定了主元素含量</w:t>
      </w:r>
      <w:r>
        <w:rPr>
          <w:rFonts w:hint="eastAsia"/>
          <w:szCs w:val="28"/>
          <w:lang w:val="en-US" w:eastAsia="zh-CN"/>
        </w:rPr>
        <w:t>指标钠（Na）和铜铁锰（Cu+Fe+Mn）合量。</w:t>
      </w:r>
    </w:p>
    <w:p>
      <w:pPr>
        <w:pStyle w:val="2"/>
        <w:keepNext w:val="0"/>
        <w:keepLines w:val="0"/>
        <w:pageBreakBefore w:val="0"/>
        <w:kinsoku/>
        <w:wordWrap/>
        <w:overflowPunct/>
        <w:topLinePunct w:val="0"/>
        <w:bidi w:val="0"/>
        <w:adjustRightInd/>
        <w:spacing w:before="156" w:beforeLines="50" w:line="360" w:lineRule="exact"/>
        <w:ind w:firstLine="420" w:firstLineChars="200"/>
        <w:rPr>
          <w:rFonts w:hint="eastAsia" w:ascii="Times New Roman" w:hAnsi="Times New Roman"/>
          <w:szCs w:val="28"/>
          <w:lang w:val="en-US" w:eastAsia="zh-CN"/>
        </w:rPr>
      </w:pPr>
      <w:r>
        <w:rPr>
          <w:rFonts w:hint="eastAsia" w:ascii="Times New Roman" w:hAnsi="Times New Roman"/>
          <w:szCs w:val="28"/>
        </w:rPr>
        <w:t>考虑使用企业要求，本标准</w:t>
      </w:r>
      <w:r>
        <w:rPr>
          <w:rFonts w:hint="eastAsia" w:ascii="Times New Roman" w:hAnsi="Times New Roman"/>
          <w:szCs w:val="28"/>
          <w:lang w:val="en-US" w:eastAsia="zh-CN"/>
        </w:rPr>
        <w:t>杂质项目</w:t>
      </w:r>
      <w:r>
        <w:rPr>
          <w:rFonts w:hint="eastAsia" w:ascii="Times New Roman" w:hAnsi="Times New Roman"/>
          <w:szCs w:val="28"/>
        </w:rPr>
        <w:t>规定</w:t>
      </w:r>
      <w:r>
        <w:rPr>
          <w:rFonts w:hint="eastAsia" w:ascii="Times New Roman" w:hAnsi="Times New Roman"/>
          <w:szCs w:val="28"/>
          <w:lang w:val="en-US" w:eastAsia="zh-CN"/>
        </w:rPr>
        <w:t>了钙（Ca）、镉（Cd）、铬（Cr）、镁（Mg）、铅（Pb）、硫（S）、硅（Si）、锌（Zn）残余钠（Na）和磁性异物</w:t>
      </w:r>
      <w:r>
        <w:rPr>
          <w:rFonts w:hint="eastAsia" w:ascii="Times New Roman" w:hAnsi="Times New Roman"/>
          <w:szCs w:val="28"/>
        </w:rPr>
        <w:t>。</w:t>
      </w:r>
      <w:r>
        <w:rPr>
          <w:rFonts w:hint="eastAsia" w:ascii="Times New Roman" w:hAnsi="Times New Roman"/>
          <w:szCs w:val="28"/>
          <w:lang w:val="en-US" w:eastAsia="zh-CN"/>
        </w:rPr>
        <w:t>其他指标规定了水分、pH、振实密度、粒度分布和比表面积。</w:t>
      </w:r>
    </w:p>
    <w:p>
      <w:pPr>
        <w:keepNext w:val="0"/>
        <w:keepLines w:val="0"/>
        <w:pageBreakBefore w:val="0"/>
        <w:kinsoku/>
        <w:wordWrap/>
        <w:overflowPunct/>
        <w:topLinePunct w:val="0"/>
        <w:bidi w:val="0"/>
        <w:adjustRightInd/>
        <w:spacing w:line="360" w:lineRule="exact"/>
        <w:ind w:firstLine="420" w:firstLineChars="200"/>
        <w:rPr>
          <w:rFonts w:hint="eastAsia" w:cs="宋体"/>
          <w:kern w:val="0"/>
          <w:lang w:bidi="ar"/>
        </w:rPr>
      </w:pPr>
      <w:r>
        <w:rPr>
          <w:rFonts w:hint="eastAsia" w:cs="宋体"/>
          <w:kern w:val="0"/>
          <w:lang w:val="en-US" w:eastAsia="zh-CN" w:bidi="ar"/>
        </w:rPr>
        <w:t>同时还规定了</w:t>
      </w:r>
      <w:r>
        <w:rPr>
          <w:rFonts w:hint="eastAsia" w:cs="宋体"/>
          <w:kern w:val="0"/>
          <w:lang w:bidi="ar"/>
        </w:rPr>
        <w:t>正极材料电性能的评价指标</w:t>
      </w:r>
      <w:r>
        <w:rPr>
          <w:rFonts w:hint="eastAsia" w:cs="宋体"/>
          <w:kern w:val="0"/>
          <w:lang w:eastAsia="zh-CN" w:bidi="ar"/>
        </w:rPr>
        <w:t>：</w:t>
      </w:r>
      <w:r>
        <w:rPr>
          <w:rFonts w:hint="eastAsia" w:cs="宋体"/>
          <w:kern w:val="0"/>
          <w:lang w:bidi="ar"/>
        </w:rPr>
        <w:t>首次放电比容量、首次充放电效率和循环寿命。</w:t>
      </w:r>
    </w:p>
    <w:p>
      <w:pPr>
        <w:keepNext w:val="0"/>
        <w:keepLines w:val="0"/>
        <w:pageBreakBefore w:val="0"/>
        <w:kinsoku/>
        <w:wordWrap/>
        <w:overflowPunct/>
        <w:topLinePunct w:val="0"/>
        <w:bidi w:val="0"/>
        <w:adjustRightInd/>
        <w:spacing w:line="360" w:lineRule="exact"/>
        <w:ind w:firstLine="420" w:firstLineChars="200"/>
        <w:rPr>
          <w:rFonts w:hint="eastAsia" w:cs="宋体"/>
          <w:kern w:val="0"/>
          <w:lang w:bidi="ar"/>
        </w:rPr>
      </w:pPr>
      <w:r>
        <w:t>本产品所列</w:t>
      </w:r>
      <w:r>
        <w:rPr>
          <w:rFonts w:hint="eastAsia"/>
          <w:lang w:val="en-US" w:eastAsia="zh-CN"/>
        </w:rPr>
        <w:t>化学指标</w:t>
      </w:r>
      <w:r>
        <w:t>的检验均使用</w:t>
      </w:r>
      <w:r>
        <w:rPr>
          <w:rFonts w:hint="eastAsia"/>
          <w:lang w:val="en-US" w:eastAsia="zh-CN"/>
        </w:rPr>
        <w:t>在</w:t>
      </w:r>
      <w:r>
        <w:rPr>
          <w:rFonts w:hint="eastAsia" w:ascii="Times New Roman"/>
          <w:color w:val="auto"/>
          <w:kern w:val="2"/>
          <w:szCs w:val="24"/>
          <w:highlight w:val="none"/>
        </w:rPr>
        <w:t>真空度为85 Kpa、温度为110 ℃±2 ℃的真空干燥箱中干燥不少于2 h</w:t>
      </w:r>
      <w:r>
        <w:t>的试样</w:t>
      </w:r>
      <w:r>
        <w:rPr>
          <w:rFonts w:hint="eastAsia"/>
        </w:rPr>
        <w:t>，因此本标准</w:t>
      </w:r>
      <w:r>
        <w:rPr>
          <w:rFonts w:hint="eastAsia"/>
          <w:lang w:val="en-US" w:eastAsia="zh-CN"/>
        </w:rPr>
        <w:t>理化</w:t>
      </w:r>
      <w:r>
        <w:rPr>
          <w:rFonts w:hint="eastAsia"/>
        </w:rPr>
        <w:t>指标</w:t>
      </w:r>
      <w:r>
        <w:rPr>
          <w:rFonts w:hint="eastAsia"/>
          <w:lang w:val="en-US" w:eastAsia="zh-CN"/>
        </w:rPr>
        <w:t>均</w:t>
      </w:r>
      <w:r>
        <w:rPr>
          <w:rFonts w:hint="eastAsia"/>
        </w:rPr>
        <w:t>规定“</w:t>
      </w:r>
      <w:r>
        <w:rPr>
          <w:rFonts w:hint="eastAsia"/>
          <w:color w:val="000000"/>
          <w:kern w:val="0"/>
          <w:szCs w:val="21"/>
          <w:lang w:val="en-US" w:eastAsia="zh-CN"/>
        </w:rPr>
        <w:t>以干基计</w:t>
      </w:r>
      <w:r>
        <w:rPr>
          <w:rFonts w:hint="eastAsia"/>
        </w:rPr>
        <w:t>”</w:t>
      </w:r>
      <w:r>
        <w:rPr>
          <w:rFonts w:hint="eastAsia"/>
          <w:lang w:eastAsia="zh-CN"/>
        </w:rPr>
        <w:t>。</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3.2  外观</w:t>
      </w:r>
    </w:p>
    <w:p>
      <w:pPr>
        <w:pStyle w:val="2"/>
        <w:keepNext w:val="0"/>
        <w:keepLines w:val="0"/>
        <w:pageBreakBefore w:val="0"/>
        <w:kinsoku/>
        <w:wordWrap/>
        <w:overflowPunct/>
        <w:topLinePunct w:val="0"/>
        <w:bidi w:val="0"/>
        <w:adjustRightInd/>
        <w:spacing w:line="360" w:lineRule="exact"/>
        <w:ind w:firstLine="420" w:firstLineChars="200"/>
        <w:rPr>
          <w:rFonts w:hint="default" w:eastAsia="宋体"/>
          <w:lang w:val="en-US" w:eastAsia="zh-CN"/>
        </w:rPr>
      </w:pPr>
      <w:r>
        <w:rPr>
          <w:rFonts w:hint="eastAsia"/>
          <w:lang w:val="en-US" w:eastAsia="zh-CN"/>
        </w:rPr>
        <w:t>各标准外观指标规定的基本一致，本标准根据实际情况将</w:t>
      </w:r>
      <w:r>
        <w:t>产品的外观</w:t>
      </w:r>
      <w:r>
        <w:rPr>
          <w:rFonts w:hint="eastAsia"/>
          <w:lang w:val="en-US" w:eastAsia="zh-CN"/>
        </w:rPr>
        <w:t>规定</w:t>
      </w:r>
      <w:r>
        <w:t>为</w:t>
      </w:r>
      <w:r>
        <w:rPr>
          <w:rFonts w:hint="eastAsia"/>
          <w:lang w:eastAsia="zh-CN"/>
        </w:rPr>
        <w:t>：</w:t>
      </w:r>
      <w:r>
        <w:rPr>
          <w:rFonts w:hint="eastAsia"/>
          <w:lang w:val="en-US" w:eastAsia="zh-CN"/>
        </w:rPr>
        <w:t>灰</w:t>
      </w:r>
      <w:r>
        <w:t>黑色粉末，颜色均一，无结块。</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3.3  指标要求的确定</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 xml:space="preserve">3.3.1  </w:t>
      </w:r>
      <w:r>
        <w:rPr>
          <w:rFonts w:hint="eastAsia" w:ascii="黑体" w:hAnsi="宋体" w:eastAsia="黑体"/>
          <w:lang w:val="en-US" w:eastAsia="zh-CN"/>
        </w:rPr>
        <w:t>化学成分</w:t>
      </w:r>
      <w:r>
        <w:rPr>
          <w:rFonts w:hint="eastAsia" w:ascii="黑体" w:hAnsi="宋体" w:eastAsia="黑体"/>
        </w:rPr>
        <w:t>含量的确定</w:t>
      </w:r>
    </w:p>
    <w:p>
      <w:pPr>
        <w:keepNext w:val="0"/>
        <w:keepLines w:val="0"/>
        <w:pageBreakBefore w:val="0"/>
        <w:widowControl/>
        <w:kinsoku/>
        <w:wordWrap/>
        <w:overflowPunct/>
        <w:topLinePunct w:val="0"/>
        <w:bidi w:val="0"/>
        <w:adjustRightInd/>
        <w:spacing w:line="360" w:lineRule="exact"/>
        <w:ind w:firstLine="420" w:firstLineChars="200"/>
        <w:rPr>
          <w:rFonts w:hint="eastAsia"/>
          <w:szCs w:val="28"/>
          <w:lang w:val="en-US" w:eastAsia="zh-CN"/>
        </w:rPr>
      </w:pPr>
      <w:r>
        <w:rPr>
          <w:rFonts w:hint="eastAsia"/>
          <w:szCs w:val="28"/>
        </w:rPr>
        <w:t>本标准根据市场现有的</w:t>
      </w:r>
      <w:r>
        <w:rPr>
          <w:rFonts w:hint="eastAsia"/>
          <w:szCs w:val="28"/>
          <w:lang w:eastAsia="zh-CN"/>
        </w:rPr>
        <w:t>铜铁锰酸钠</w:t>
      </w:r>
      <w:r>
        <w:rPr>
          <w:rFonts w:hint="eastAsia"/>
          <w:szCs w:val="28"/>
          <w:lang w:val="en-US" w:eastAsia="zh-CN"/>
        </w:rPr>
        <w:t>产品实际情况</w:t>
      </w:r>
      <w:r>
        <w:rPr>
          <w:rFonts w:hint="eastAsia"/>
          <w:szCs w:val="28"/>
        </w:rPr>
        <w:t>，规定了主元素含量范围</w:t>
      </w:r>
      <w:r>
        <w:rPr>
          <w:rFonts w:hint="eastAsia"/>
          <w:szCs w:val="28"/>
          <w:lang w:eastAsia="zh-CN"/>
        </w:rPr>
        <w:t>。</w:t>
      </w:r>
      <w:r>
        <w:rPr>
          <w:rFonts w:hint="eastAsia"/>
          <w:szCs w:val="28"/>
          <w:lang w:val="en-US" w:eastAsia="zh-CN"/>
        </w:rPr>
        <w:t>目前国内各企业对钠含量指标的规定是一样的，均为17</w:t>
      </w:r>
      <w:r>
        <w:rPr>
          <w:rFonts w:hint="eastAsia" w:ascii="Times New Roman" w:hAnsi="Times New Roman"/>
          <w:szCs w:val="28"/>
          <w:lang w:val="en-US" w:eastAsia="zh-CN"/>
        </w:rPr>
        <w:t>.00%~</w:t>
      </w:r>
      <w:r>
        <w:rPr>
          <w:rFonts w:hint="eastAsia"/>
          <w:szCs w:val="28"/>
          <w:lang w:val="en-US" w:eastAsia="zh-CN"/>
        </w:rPr>
        <w:t>2</w:t>
      </w:r>
      <w:r>
        <w:rPr>
          <w:rFonts w:hint="eastAsia" w:ascii="Times New Roman" w:hAnsi="Times New Roman"/>
          <w:szCs w:val="28"/>
          <w:lang w:val="en-US" w:eastAsia="zh-CN"/>
        </w:rPr>
        <w:t>3.00%</w:t>
      </w:r>
      <w:r>
        <w:rPr>
          <w:rFonts w:hint="eastAsia"/>
          <w:szCs w:val="28"/>
          <w:lang w:val="en-US" w:eastAsia="zh-CN"/>
        </w:rPr>
        <w:t>。铜铁锰合量设置差别较大，在23.00%</w:t>
      </w:r>
      <w:r>
        <w:rPr>
          <w:rFonts w:hint="eastAsia" w:ascii="Times New Roman" w:hAnsi="Times New Roman"/>
          <w:szCs w:val="28"/>
          <w:lang w:val="en-US" w:eastAsia="zh-CN"/>
        </w:rPr>
        <w:t>~</w:t>
      </w:r>
      <w:r>
        <w:rPr>
          <w:rFonts w:hint="eastAsia"/>
          <w:szCs w:val="28"/>
          <w:lang w:val="en-US" w:eastAsia="zh-CN"/>
        </w:rPr>
        <w:t>5</w:t>
      </w:r>
      <w:r>
        <w:rPr>
          <w:rFonts w:hint="eastAsia" w:ascii="Times New Roman" w:hAnsi="Times New Roman"/>
          <w:szCs w:val="28"/>
          <w:lang w:val="en-US" w:eastAsia="zh-CN"/>
        </w:rPr>
        <w:t>3.00%</w:t>
      </w:r>
      <w:r>
        <w:rPr>
          <w:rFonts w:hint="eastAsia"/>
          <w:szCs w:val="28"/>
          <w:lang w:val="en-US" w:eastAsia="zh-CN"/>
        </w:rPr>
        <w:t>之间，其中团体标准设置的指标为</w:t>
      </w:r>
      <w:r>
        <w:rPr>
          <w:rFonts w:hint="eastAsia"/>
          <w:szCs w:val="28"/>
        </w:rPr>
        <w:t>42.00</w:t>
      </w:r>
      <w:r>
        <w:rPr>
          <w:rFonts w:hint="eastAsia"/>
          <w:szCs w:val="28"/>
          <w:lang w:val="en-US" w:eastAsia="zh-CN"/>
        </w:rPr>
        <w:t xml:space="preserve"> %</w:t>
      </w:r>
      <w:r>
        <w:rPr>
          <w:rFonts w:hint="eastAsia"/>
          <w:szCs w:val="28"/>
        </w:rPr>
        <w:t>～53.00</w:t>
      </w:r>
      <w:r>
        <w:rPr>
          <w:rFonts w:hint="eastAsia"/>
          <w:szCs w:val="28"/>
          <w:lang w:val="en-US" w:eastAsia="zh-CN"/>
        </w:rPr>
        <w:t xml:space="preserve"> %。</w:t>
      </w:r>
      <w:r>
        <w:rPr>
          <w:rFonts w:hint="eastAsia" w:ascii="Times New Roman" w:hAnsi="Times New Roman"/>
          <w:szCs w:val="28"/>
        </w:rPr>
        <w:t>考虑后续钠离子电池发展，</w:t>
      </w:r>
      <w:r>
        <w:rPr>
          <w:rFonts w:hint="eastAsia" w:ascii="Times New Roman" w:hAnsi="Times New Roman"/>
          <w:szCs w:val="28"/>
          <w:lang w:val="en-US" w:eastAsia="zh-CN"/>
        </w:rPr>
        <w:t>铜</w:t>
      </w:r>
      <w:r>
        <w:rPr>
          <w:rFonts w:hint="eastAsia" w:ascii="Times New Roman" w:hAnsi="Times New Roman"/>
          <w:szCs w:val="28"/>
        </w:rPr>
        <w:t>锰铁比例会类似镍钴锰酸锂类锂电正极材料存在多种产品类型，</w:t>
      </w:r>
      <w:r>
        <w:rPr>
          <w:rFonts w:hint="eastAsia" w:ascii="Times New Roman" w:hAnsi="Times New Roman"/>
          <w:szCs w:val="28"/>
          <w:lang w:val="en-US" w:eastAsia="zh-CN"/>
        </w:rPr>
        <w:t>根据样品验证数据结果，</w:t>
      </w:r>
      <w:r>
        <w:rPr>
          <w:rFonts w:hint="eastAsia" w:ascii="Times New Roman" w:hAnsi="Times New Roman"/>
          <w:szCs w:val="28"/>
        </w:rPr>
        <w:t>本标准规定钠含量的要求为</w:t>
      </w:r>
      <w:r>
        <w:rPr>
          <w:rFonts w:hint="eastAsia" w:ascii="Times New Roman" w:hAnsi="Times New Roman"/>
          <w:szCs w:val="28"/>
          <w:lang w:val="en-US" w:eastAsia="zh-CN"/>
        </w:rPr>
        <w:t>17.0%</w:t>
      </w:r>
      <w:r>
        <w:rPr>
          <w:rFonts w:ascii="Times New Roman" w:hAnsi="Times New Roman"/>
          <w:szCs w:val="28"/>
        </w:rPr>
        <w:t>~2</w:t>
      </w:r>
      <w:r>
        <w:rPr>
          <w:rFonts w:hint="eastAsia" w:ascii="Times New Roman" w:hAnsi="Times New Roman"/>
          <w:szCs w:val="28"/>
          <w:lang w:val="en-US" w:eastAsia="zh-CN"/>
        </w:rPr>
        <w:t>3</w:t>
      </w:r>
      <w:r>
        <w:rPr>
          <w:rFonts w:ascii="Times New Roman" w:hAnsi="Times New Roman"/>
          <w:szCs w:val="28"/>
        </w:rPr>
        <w:t>.0</w:t>
      </w:r>
      <w:r>
        <w:rPr>
          <w:rFonts w:hint="eastAsia" w:ascii="Times New Roman" w:hAnsi="Times New Roman"/>
          <w:szCs w:val="28"/>
          <w:lang w:val="en-US" w:eastAsia="zh-CN"/>
        </w:rPr>
        <w:t>%</w:t>
      </w:r>
      <w:r>
        <w:rPr>
          <w:rFonts w:hint="eastAsia" w:ascii="Times New Roman" w:hAnsi="Times New Roman"/>
          <w:szCs w:val="28"/>
        </w:rPr>
        <w:t>。</w:t>
      </w:r>
      <w:r>
        <w:rPr>
          <w:rFonts w:hint="eastAsia" w:ascii="Times New Roman" w:hAnsi="Times New Roman"/>
          <w:szCs w:val="28"/>
          <w:lang w:val="en-US" w:eastAsia="zh-CN"/>
        </w:rPr>
        <w:t>铜</w:t>
      </w:r>
      <w:r>
        <w:rPr>
          <w:rFonts w:hint="eastAsia" w:ascii="Times New Roman" w:hAnsi="Times New Roman"/>
          <w:szCs w:val="28"/>
        </w:rPr>
        <w:t>铁锰合量指标</w:t>
      </w:r>
      <w:r>
        <w:rPr>
          <w:rFonts w:hint="eastAsia"/>
          <w:szCs w:val="28"/>
          <w:lang w:val="en-US" w:eastAsia="zh-CN"/>
        </w:rPr>
        <w:t>设置</w:t>
      </w:r>
      <w:r>
        <w:rPr>
          <w:rFonts w:hint="eastAsia" w:ascii="Times New Roman" w:hAnsi="Times New Roman"/>
          <w:szCs w:val="28"/>
          <w:lang w:val="en-US" w:eastAsia="zh-CN"/>
        </w:rPr>
        <w:t>为42.00%~53.00%</w:t>
      </w:r>
      <w:r>
        <w:rPr>
          <w:rFonts w:hint="eastAsia" w:ascii="Times New Roman" w:hAnsi="Times New Roman"/>
          <w:szCs w:val="28"/>
        </w:rPr>
        <w:t>。</w:t>
      </w:r>
    </w:p>
    <w:p>
      <w:pPr>
        <w:keepNext w:val="0"/>
        <w:keepLines w:val="0"/>
        <w:pageBreakBefore w:val="0"/>
        <w:widowControl/>
        <w:kinsoku/>
        <w:wordWrap/>
        <w:overflowPunct/>
        <w:topLinePunct w:val="0"/>
        <w:bidi w:val="0"/>
        <w:adjustRightInd/>
        <w:spacing w:line="360" w:lineRule="exact"/>
        <w:ind w:firstLine="420" w:firstLineChars="200"/>
        <w:rPr>
          <w:rFonts w:hint="eastAsia"/>
          <w:szCs w:val="28"/>
          <w:lang w:val="en-US" w:eastAsia="zh-CN"/>
        </w:rPr>
      </w:pPr>
      <w:r>
        <w:rPr>
          <w:rFonts w:hint="eastAsia" w:ascii="Times New Roman" w:hAnsi="Times New Roman"/>
          <w:szCs w:val="28"/>
          <w:lang w:val="en-US" w:eastAsia="zh-CN"/>
        </w:rPr>
        <w:t>镉（Cd）、铬（Cr）、铅（Pb）、硅（Si）</w:t>
      </w:r>
      <w:r>
        <w:rPr>
          <w:rFonts w:hint="eastAsia"/>
          <w:szCs w:val="28"/>
          <w:lang w:val="en-US" w:eastAsia="zh-CN"/>
        </w:rPr>
        <w:t>为主要杂质，国内要求基本一致，均规定为不大于0.02%，</w:t>
      </w:r>
      <w:r>
        <w:rPr>
          <w:rFonts w:hint="eastAsia" w:ascii="Times New Roman" w:hAnsi="Times New Roman"/>
          <w:szCs w:val="28"/>
          <w:lang w:val="en-US" w:eastAsia="zh-CN"/>
        </w:rPr>
        <w:t>钙（Ca）、镁（Mg）、锌（Zn）</w:t>
      </w:r>
      <w:r>
        <w:rPr>
          <w:rFonts w:hint="eastAsia"/>
          <w:szCs w:val="28"/>
          <w:lang w:val="en-US" w:eastAsia="zh-CN"/>
        </w:rPr>
        <w:t>3个元素为掺杂元素，指标要求需执行用户要求，</w:t>
      </w:r>
      <w:r>
        <w:rPr>
          <w:rFonts w:hint="eastAsia" w:ascii="Times New Roman" w:hAnsi="Times New Roman"/>
          <w:szCs w:val="28"/>
          <w:lang w:val="en-US" w:eastAsia="zh-CN"/>
        </w:rPr>
        <w:t>其含量由供需双方协商确定</w:t>
      </w:r>
      <w:r>
        <w:rPr>
          <w:rFonts w:hint="eastAsia" w:ascii="Times New Roman" w:hAnsi="Times New Roman"/>
          <w:szCs w:val="28"/>
        </w:rPr>
        <w:t>。</w:t>
      </w:r>
      <w:r>
        <w:rPr>
          <w:rFonts w:hint="eastAsia" w:ascii="Times New Roman" w:hAnsi="Times New Roman"/>
          <w:szCs w:val="28"/>
          <w:lang w:val="en-US" w:eastAsia="zh-CN"/>
        </w:rPr>
        <w:t>硫（S）</w:t>
      </w:r>
      <w:r>
        <w:rPr>
          <w:rFonts w:hint="eastAsia"/>
          <w:szCs w:val="28"/>
          <w:lang w:val="en-US" w:eastAsia="zh-CN"/>
        </w:rPr>
        <w:t>含量指标要求均在0.25%以下。</w:t>
      </w:r>
    </w:p>
    <w:p>
      <w:pPr>
        <w:keepNext w:val="0"/>
        <w:keepLines w:val="0"/>
        <w:pageBreakBefore w:val="0"/>
        <w:widowControl/>
        <w:kinsoku/>
        <w:wordWrap/>
        <w:overflowPunct/>
        <w:topLinePunct w:val="0"/>
        <w:bidi w:val="0"/>
        <w:adjustRightInd/>
        <w:spacing w:line="360" w:lineRule="exact"/>
        <w:ind w:firstLine="420" w:firstLineChars="200"/>
        <w:rPr>
          <w:szCs w:val="28"/>
        </w:rPr>
      </w:pPr>
      <w:r>
        <w:rPr>
          <w:rFonts w:hint="eastAsia"/>
          <w:szCs w:val="28"/>
          <w:lang w:val="en-US" w:eastAsia="zh-CN"/>
        </w:rPr>
        <w:t>综合分析，本标准化学成分指标要求设置见表1</w:t>
      </w:r>
      <w:r>
        <w:rPr>
          <w:rFonts w:hint="eastAsia"/>
          <w:szCs w:val="28"/>
        </w:rPr>
        <w:t>。</w:t>
      </w:r>
    </w:p>
    <w:p>
      <w:pPr>
        <w:pStyle w:val="25"/>
        <w:keepNext w:val="0"/>
        <w:keepLines w:val="0"/>
        <w:pageBreakBefore w:val="0"/>
        <w:kinsoku/>
        <w:wordWrap/>
        <w:overflowPunct/>
        <w:topLinePunct w:val="0"/>
        <w:bidi w:val="0"/>
        <w:adjustRightInd/>
        <w:spacing w:line="360" w:lineRule="exact"/>
      </w:pPr>
      <w:r>
        <w:rPr>
          <w:rFonts w:hint="eastAsia"/>
          <w:lang w:eastAsia="zh-CN"/>
        </w:rPr>
        <w:t>铜铁锰酸钠</w:t>
      </w:r>
      <w:r>
        <w:rPr>
          <w:rFonts w:hint="eastAsia"/>
        </w:rPr>
        <w:t>的化学成分</w:t>
      </w:r>
      <w:r>
        <w:rPr>
          <w:rFonts w:hint="eastAsia"/>
          <w:lang w:val="en-US" w:eastAsia="zh-CN"/>
        </w:rPr>
        <w:t>技术要求</w:t>
      </w:r>
    </w:p>
    <w:tbl>
      <w:tblPr>
        <w:tblStyle w:val="4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49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4492" w:type="dxa"/>
            <w:tcBorders>
              <w:top w:val="single" w:color="auto" w:sz="8" w:space="0"/>
              <w:bottom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hint="eastAsia" w:ascii="Times New Roman" w:hAnsi="Times New Roman" w:eastAsia="宋体"/>
                <w:b/>
                <w:bCs/>
                <w:kern w:val="0"/>
                <w:sz w:val="21"/>
                <w:szCs w:val="21"/>
                <w:lang w:eastAsia="zh-CN"/>
              </w:rPr>
            </w:pPr>
            <w:r>
              <w:rPr>
                <w:rFonts w:hint="eastAsia" w:ascii="Times New Roman" w:hAnsi="Times New Roman"/>
                <w:b/>
                <w:bCs/>
                <w:kern w:val="0"/>
                <w:sz w:val="21"/>
                <w:szCs w:val="21"/>
              </w:rPr>
              <w:t>化学成</w:t>
            </w:r>
            <w:r>
              <w:rPr>
                <w:rFonts w:hint="eastAsia"/>
                <w:b/>
                <w:bCs/>
                <w:kern w:val="0"/>
                <w:sz w:val="21"/>
                <w:szCs w:val="21"/>
                <w:lang w:val="en-US" w:eastAsia="zh-CN"/>
              </w:rPr>
              <w:t>分</w:t>
            </w:r>
          </w:p>
        </w:tc>
        <w:tc>
          <w:tcPr>
            <w:tcW w:w="3112" w:type="dxa"/>
            <w:tcBorders>
              <w:top w:val="single" w:color="auto" w:sz="8" w:space="0"/>
              <w:bottom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ascii="Times New Roman" w:hAnsi="Times New Roman"/>
                <w:b/>
                <w:bCs/>
                <w:kern w:val="0"/>
                <w:sz w:val="21"/>
                <w:szCs w:val="21"/>
              </w:rPr>
            </w:pPr>
            <w:r>
              <w:rPr>
                <w:rFonts w:hint="eastAsia" w:ascii="Times New Roman" w:hAnsi="Times New Roman"/>
                <w:b/>
                <w:bCs/>
                <w:kern w:val="0"/>
                <w:sz w:val="21"/>
                <w:szCs w:val="21"/>
              </w:rPr>
              <w:t>含量（质量分数）/</w:t>
            </w:r>
            <w:r>
              <w:rPr>
                <w:rFonts w:hint="eastAsia"/>
                <w:b/>
                <w:bCs/>
                <w:kern w:val="0"/>
                <w:sz w:val="21"/>
                <w:szCs w:val="21"/>
                <w:lang w:val="en-US" w:eastAsia="zh-CN"/>
              </w:rPr>
              <w:t xml:space="preserve"> </w:t>
            </w:r>
            <w:r>
              <w:rPr>
                <w:rFonts w:ascii="Times New Roman" w:hAnsi="Times New Roman"/>
                <w:b/>
                <w:bCs/>
                <w:kern w:val="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tcBorders>
              <w:top w:val="single" w:color="auto" w:sz="8" w:space="0"/>
              <w:bottom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钠（N</w:t>
            </w:r>
            <w:r>
              <w:rPr>
                <w:rFonts w:ascii="Times New Roman" w:hAnsi="Times New Roman"/>
                <w:color w:val="auto"/>
                <w:kern w:val="0"/>
                <w:sz w:val="21"/>
                <w:szCs w:val="21"/>
                <w:highlight w:val="none"/>
              </w:rPr>
              <w:t>a</w:t>
            </w:r>
            <w:r>
              <w:rPr>
                <w:rFonts w:hint="eastAsia" w:ascii="Times New Roman" w:hAnsi="Times New Roman"/>
                <w:color w:val="auto"/>
                <w:kern w:val="0"/>
                <w:sz w:val="21"/>
                <w:szCs w:val="21"/>
                <w:highlight w:val="none"/>
              </w:rPr>
              <w:t>，以干基计）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tcBorders>
              <w:top w:val="single" w:color="auto" w:sz="8" w:space="0"/>
              <w:bottom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hint="default" w:ascii="Times New Roman" w:hAnsi="Times New Roman" w:eastAsia="宋体"/>
                <w:kern w:val="0"/>
                <w:sz w:val="21"/>
                <w:szCs w:val="21"/>
                <w:lang w:val="en-US" w:eastAsia="zh-CN"/>
              </w:rPr>
            </w:pPr>
            <w:r>
              <w:rPr>
                <w:rFonts w:ascii="Times New Roman" w:hAnsi="Times New Roman"/>
                <w:color w:val="auto"/>
                <w:kern w:val="0"/>
                <w:sz w:val="21"/>
                <w:szCs w:val="21"/>
                <w:highlight w:val="none"/>
              </w:rPr>
              <w:t>17.0</w:t>
            </w:r>
            <w:r>
              <w:rPr>
                <w:rFonts w:hint="eastAsia" w:ascii="Times New Roman" w:hAnsi="Times New Roman"/>
                <w:color w:val="auto"/>
                <w:kern w:val="0"/>
                <w:sz w:val="21"/>
                <w:szCs w:val="21"/>
                <w:highlight w:val="none"/>
              </w:rPr>
              <w:t>～</w:t>
            </w:r>
            <w:r>
              <w:rPr>
                <w:rFonts w:ascii="Times New Roman" w:hAnsi="Times New Roman"/>
                <w:color w:val="auto"/>
                <w:kern w:val="0"/>
                <w:sz w:val="21"/>
                <w:szCs w:val="21"/>
                <w:highlight w:val="none"/>
              </w:rPr>
              <w:t>23.0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492" w:type="dxa"/>
            <w:tcBorders>
              <w:top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铜铁锰（</w:t>
            </w:r>
            <w:r>
              <w:rPr>
                <w:rFonts w:ascii="Times New Roman" w:hAnsi="Times New Roman"/>
                <w:color w:val="auto"/>
                <w:kern w:val="0"/>
                <w:sz w:val="21"/>
                <w:szCs w:val="21"/>
                <w:highlight w:val="none"/>
              </w:rPr>
              <w:t>Cu</w:t>
            </w:r>
            <w:r>
              <w:rPr>
                <w:rFonts w:hint="eastAsia" w:ascii="Times New Roman" w:hAnsi="Times New Roman"/>
                <w:color w:val="auto"/>
                <w:kern w:val="0"/>
                <w:sz w:val="21"/>
                <w:szCs w:val="21"/>
                <w:highlight w:val="none"/>
              </w:rPr>
              <w:t>+</w:t>
            </w:r>
            <w:r>
              <w:rPr>
                <w:rFonts w:ascii="Times New Roman" w:hAnsi="Times New Roman"/>
                <w:color w:val="auto"/>
                <w:kern w:val="0"/>
                <w:sz w:val="21"/>
                <w:szCs w:val="21"/>
                <w:highlight w:val="none"/>
              </w:rPr>
              <w:t>Fe+</w:t>
            </w:r>
            <w:r>
              <w:rPr>
                <w:rFonts w:hint="eastAsia" w:ascii="Times New Roman" w:hAnsi="Times New Roman"/>
                <w:color w:val="auto"/>
                <w:kern w:val="0"/>
                <w:sz w:val="21"/>
                <w:szCs w:val="21"/>
                <w:highlight w:val="none"/>
              </w:rPr>
              <w:t>M</w:t>
            </w:r>
            <w:r>
              <w:rPr>
                <w:rFonts w:ascii="Times New Roman" w:hAnsi="Times New Roman"/>
                <w:color w:val="auto"/>
                <w:kern w:val="0"/>
                <w:sz w:val="21"/>
                <w:szCs w:val="21"/>
                <w:highlight w:val="none"/>
              </w:rPr>
              <w:t>n</w:t>
            </w:r>
            <w:r>
              <w:rPr>
                <w:rFonts w:hint="eastAsia" w:ascii="Times New Roman" w:hAnsi="Times New Roman"/>
                <w:color w:val="auto"/>
                <w:kern w:val="0"/>
                <w:sz w:val="21"/>
                <w:szCs w:val="21"/>
                <w:highlight w:val="none"/>
              </w:rPr>
              <w:t>，以干基计）</w:t>
            </w:r>
            <w:r>
              <w:rPr>
                <w:rFonts w:hint="eastAsia" w:ascii="Times New Roman" w:hAnsi="Times New Roman"/>
                <w:color w:val="auto"/>
                <w:kern w:val="0"/>
                <w:sz w:val="21"/>
                <w:szCs w:val="21"/>
                <w:highlight w:val="none"/>
                <w:lang w:val="en-US" w:eastAsia="zh-CN"/>
              </w:rPr>
              <w:t>合</w:t>
            </w:r>
            <w:r>
              <w:rPr>
                <w:rFonts w:hint="eastAsia" w:ascii="Times New Roman" w:hAnsi="Times New Roman"/>
                <w:color w:val="auto"/>
                <w:kern w:val="0"/>
                <w:sz w:val="21"/>
                <w:szCs w:val="21"/>
                <w:highlight w:val="none"/>
              </w:rPr>
              <w:t>量</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tcBorders>
              <w:top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hint="default" w:ascii="Times New Roman" w:hAnsi="Times New Roman" w:eastAsia="宋体"/>
                <w:kern w:val="0"/>
                <w:sz w:val="21"/>
                <w:szCs w:val="21"/>
                <w:lang w:val="en-US" w:eastAsia="zh-CN"/>
              </w:rPr>
            </w:pPr>
            <w:r>
              <w:rPr>
                <w:rFonts w:hint="eastAsia" w:ascii="Times New Roman" w:hAnsi="Times New Roman"/>
                <w:color w:val="auto"/>
                <w:spacing w:val="-1"/>
                <w:sz w:val="21"/>
                <w:szCs w:val="21"/>
                <w:highlight w:val="none"/>
              </w:rPr>
              <w:t>42</w:t>
            </w:r>
            <w:r>
              <w:rPr>
                <w:rFonts w:ascii="Times New Roman" w:hAnsi="Times New Roman"/>
                <w:color w:val="auto"/>
                <w:spacing w:val="-1"/>
                <w:sz w:val="21"/>
                <w:szCs w:val="21"/>
                <w:highlight w:val="none"/>
              </w:rPr>
              <w:t>.0</w:t>
            </w:r>
            <w:r>
              <w:rPr>
                <w:rFonts w:hint="eastAsia" w:ascii="Times New Roman" w:hAnsi="Times New Roman"/>
                <w:color w:val="auto"/>
                <w:kern w:val="0"/>
                <w:sz w:val="21"/>
                <w:szCs w:val="21"/>
                <w:highlight w:val="none"/>
              </w:rPr>
              <w:t>～</w:t>
            </w:r>
            <w:r>
              <w:rPr>
                <w:rFonts w:hint="eastAsia" w:ascii="Times New Roman" w:hAnsi="Times New Roman"/>
                <w:color w:val="auto"/>
                <w:spacing w:val="-1"/>
                <w:sz w:val="21"/>
                <w:szCs w:val="21"/>
                <w:highlight w:val="none"/>
              </w:rPr>
              <w:t>53.0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tcBorders>
              <w:top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left"/>
              <w:rPr>
                <w:rFonts w:hint="eastAsia"/>
                <w:b w:val="0"/>
                <w:bCs w:val="0"/>
                <w:kern w:val="0"/>
                <w:sz w:val="21"/>
                <w:szCs w:val="21"/>
                <w:lang w:val="en-US" w:eastAsia="zh-CN" w:bidi="ar"/>
              </w:rPr>
            </w:pPr>
            <w:r>
              <w:rPr>
                <w:rFonts w:ascii="Times New Roman" w:hAnsi="Times New Roman"/>
                <w:color w:val="auto"/>
                <w:kern w:val="0"/>
                <w:sz w:val="21"/>
                <w:szCs w:val="21"/>
                <w:highlight w:val="none"/>
              </w:rPr>
              <w:t>钙（Ca，以干基计）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tcBorders>
              <w:top w:val="single" w:color="auto" w:sz="8" w:space="0"/>
            </w:tcBorders>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hint="eastAsia"/>
                <w:sz w:val="21"/>
                <w:szCs w:val="21"/>
                <w:lang w:val="en-US" w:eastAsia="zh-CN"/>
              </w:rPr>
            </w:pPr>
            <w:r>
              <w:rPr>
                <w:rFonts w:hint="eastAsia" w:ascii="宋体" w:hAnsi="宋体"/>
                <w:color w:val="auto"/>
                <w:kern w:val="0"/>
                <w:sz w:val="21"/>
                <w:szCs w:val="21"/>
                <w:highlight w:val="none"/>
                <w:lang w:val="en-US" w:eastAsia="zh-CN"/>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镉（Cd，以干基计）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ascii="Times New Roman" w:hAnsi="Times New Roman"/>
                <w:kern w:val="0"/>
                <w:sz w:val="21"/>
                <w:szCs w:val="21"/>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center"/>
          </w:tcPr>
          <w:p>
            <w:pPr>
              <w:keepNext w:val="0"/>
              <w:keepLines w:val="0"/>
              <w:pageBreakBefore w:val="0"/>
              <w:kinsoku/>
              <w:wordWrap/>
              <w:overflowPunct/>
              <w:topLinePunct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铬（Cr，以干基计）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ascii="Times New Roman" w:hAnsi="Times New Roman"/>
                <w:kern w:val="0"/>
                <w:sz w:val="21"/>
                <w:szCs w:val="21"/>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center"/>
          </w:tcPr>
          <w:p>
            <w:pPr>
              <w:keepNext w:val="0"/>
              <w:keepLines w:val="0"/>
              <w:pageBreakBefore w:val="0"/>
              <w:kinsoku/>
              <w:wordWrap/>
              <w:overflowPunct/>
              <w:topLinePunct w:val="0"/>
              <w:bidi w:val="0"/>
              <w:adjustRightInd/>
              <w:spacing w:line="360" w:lineRule="exact"/>
              <w:jc w:val="left"/>
              <w:rPr>
                <w:rFonts w:hint="default" w:ascii="Times New Roman" w:hAnsi="Times New Roman" w:eastAsia="宋体" w:cs="Times New Roman"/>
                <w:i w:val="0"/>
                <w:iCs w:val="0"/>
                <w:color w:val="auto"/>
                <w:kern w:val="0"/>
                <w:sz w:val="21"/>
                <w:szCs w:val="21"/>
                <w:u w:val="none"/>
                <w:lang w:val="en-US" w:eastAsia="zh-CN" w:bidi="ar"/>
              </w:rPr>
            </w:pPr>
            <w:r>
              <w:rPr>
                <w:rFonts w:ascii="Times New Roman" w:hAnsi="Times New Roman"/>
                <w:color w:val="auto"/>
                <w:kern w:val="0"/>
                <w:sz w:val="21"/>
                <w:szCs w:val="21"/>
                <w:highlight w:val="none"/>
              </w:rPr>
              <w:t>镁（Mg，以干基计）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color w:val="auto"/>
                <w:kern w:val="0"/>
                <w:sz w:val="21"/>
                <w:szCs w:val="21"/>
                <w:highlight w:val="none"/>
                <w:lang w:val="en-US" w:eastAsia="zh-CN"/>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center"/>
          </w:tcPr>
          <w:p>
            <w:pPr>
              <w:keepNext w:val="0"/>
              <w:keepLines w:val="0"/>
              <w:pageBreakBefore w:val="0"/>
              <w:kinsoku/>
              <w:wordWrap/>
              <w:overflowPunct/>
              <w:topLinePunct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铅（Pb，以干基计）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ascii="Times New Roman" w:hAnsi="Times New Roman"/>
                <w:kern w:val="0"/>
                <w:sz w:val="21"/>
                <w:szCs w:val="21"/>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top"/>
          </w:tcPr>
          <w:p>
            <w:pPr>
              <w:keepNext w:val="0"/>
              <w:keepLines w:val="0"/>
              <w:pageBreakBefore w:val="0"/>
              <w:widowControl/>
              <w:kinsoku/>
              <w:wordWrap/>
              <w:overflowPunct/>
              <w:topLinePunct w:val="0"/>
              <w:autoSpaceDE w:val="0"/>
              <w:autoSpaceDN w:val="0"/>
              <w:bidi w:val="0"/>
              <w:adjustRightInd/>
              <w:spacing w:line="360" w:lineRule="exact"/>
              <w:jc w:val="left"/>
              <w:rPr>
                <w:rFonts w:hint="default" w:ascii="Times New Roman" w:hAnsi="Times New Roman" w:eastAsia="宋体" w:cs="Times New Roman"/>
                <w:kern w:val="0"/>
                <w:sz w:val="21"/>
                <w:szCs w:val="21"/>
                <w:lang w:val="en-US" w:eastAsia="zh-CN" w:bidi="ar-SA"/>
              </w:rPr>
            </w:pPr>
            <w:r>
              <w:rPr>
                <w:rFonts w:hint="eastAsia" w:ascii="Times New Roman" w:hAnsi="Times New Roman"/>
                <w:color w:val="auto"/>
                <w:kern w:val="0"/>
                <w:sz w:val="21"/>
                <w:szCs w:val="21"/>
                <w:highlight w:val="none"/>
              </w:rPr>
              <w:t>硫（S，以干基计）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hint="default" w:ascii="Times New Roman" w:hAnsi="Times New Roman" w:eastAsia="宋体" w:cs="Times New Roman"/>
                <w:kern w:val="0"/>
                <w:sz w:val="21"/>
                <w:szCs w:val="21"/>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top"/>
          </w:tcPr>
          <w:p>
            <w:pPr>
              <w:keepNext w:val="0"/>
              <w:keepLines w:val="0"/>
              <w:pageBreakBefore w:val="0"/>
              <w:widowControl/>
              <w:kinsoku/>
              <w:wordWrap/>
              <w:overflowPunct/>
              <w:topLinePunct w:val="0"/>
              <w:autoSpaceDE w:val="0"/>
              <w:autoSpaceDN w:val="0"/>
              <w:bidi w:val="0"/>
              <w:adjustRightInd/>
              <w:spacing w:line="360" w:lineRule="exact"/>
              <w:jc w:val="left"/>
              <w:rPr>
                <w:rFonts w:ascii="Times New Roman" w:hAnsi="Times New Roman"/>
                <w:kern w:val="0"/>
                <w:sz w:val="21"/>
                <w:szCs w:val="21"/>
              </w:rPr>
            </w:pPr>
            <w:r>
              <w:rPr>
                <w:rFonts w:hint="eastAsia" w:ascii="Times New Roman" w:hAnsi="Times New Roman"/>
                <w:color w:val="auto"/>
                <w:kern w:val="0"/>
                <w:sz w:val="21"/>
                <w:szCs w:val="21"/>
                <w:highlight w:val="none"/>
              </w:rPr>
              <w:t>硅（Si，以干基计）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ascii="Times New Roman" w:hAnsi="Times New Roman"/>
                <w:kern w:val="0"/>
                <w:sz w:val="21"/>
                <w:szCs w:val="21"/>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492" w:type="dxa"/>
            <w:shd w:val="clear" w:color="auto" w:fill="auto"/>
            <w:tcMar>
              <w:top w:w="0" w:type="dxa"/>
              <w:left w:w="108" w:type="dxa"/>
              <w:bottom w:w="0" w:type="dxa"/>
              <w:right w:w="108" w:type="dxa"/>
            </w:tcMar>
            <w:vAlign w:val="center"/>
          </w:tcPr>
          <w:p>
            <w:pPr>
              <w:keepNext w:val="0"/>
              <w:keepLines w:val="0"/>
              <w:pageBreakBefore w:val="0"/>
              <w:kinsoku/>
              <w:wordWrap/>
              <w:overflowPunct/>
              <w:topLinePunct w:val="0"/>
              <w:bidi w:val="0"/>
              <w:adjustRightInd/>
              <w:spacing w:line="360" w:lineRule="exact"/>
              <w:jc w:val="left"/>
              <w:rPr>
                <w:rFonts w:hint="default" w:ascii="Times New Roman" w:hAnsi="Times New Roman" w:eastAsia="宋体" w:cs="Times New Roman"/>
                <w:i w:val="0"/>
                <w:iCs w:val="0"/>
                <w:color w:val="000000"/>
                <w:kern w:val="0"/>
                <w:sz w:val="21"/>
                <w:szCs w:val="21"/>
                <w:u w:val="none"/>
                <w:lang w:val="en-US" w:eastAsia="zh-CN" w:bidi="ar"/>
              </w:rPr>
            </w:pPr>
            <w:r>
              <w:rPr>
                <w:rFonts w:ascii="Times New Roman" w:hAnsi="Times New Roman"/>
                <w:color w:val="auto"/>
                <w:kern w:val="0"/>
                <w:sz w:val="21"/>
                <w:szCs w:val="21"/>
                <w:highlight w:val="none"/>
              </w:rPr>
              <w:t>锌（Zn，以干基计）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3112" w:type="dxa"/>
            <w:shd w:val="clear" w:color="auto" w:fill="auto"/>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pacing w:line="36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color w:val="auto"/>
                <w:kern w:val="0"/>
                <w:sz w:val="21"/>
                <w:szCs w:val="21"/>
                <w:highlight w:val="none"/>
                <w:lang w:val="en-US" w:eastAsia="zh-CN"/>
              </w:rPr>
              <w:t>协商</w:t>
            </w:r>
          </w:p>
        </w:tc>
      </w:tr>
    </w:tbl>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ascii="黑体" w:hAnsi="黑体" w:eastAsia="黑体" w:cs="黑体"/>
          <w:szCs w:val="21"/>
        </w:rPr>
        <w:t>3.</w:t>
      </w:r>
      <w:r>
        <w:rPr>
          <w:rFonts w:hint="eastAsia" w:ascii="黑体" w:hAnsi="黑体" w:eastAsia="黑体" w:cs="黑体"/>
          <w:szCs w:val="21"/>
          <w:lang w:val="en-US" w:eastAsia="zh-CN"/>
        </w:rPr>
        <w:t>3</w:t>
      </w:r>
      <w:r>
        <w:rPr>
          <w:rFonts w:hint="eastAsia" w:ascii="黑体" w:hAnsi="黑体" w:eastAsia="黑体" w:cs="黑体"/>
          <w:szCs w:val="21"/>
        </w:rPr>
        <w:t>.</w:t>
      </w:r>
      <w:r>
        <w:rPr>
          <w:rFonts w:hint="eastAsia" w:ascii="黑体" w:hAnsi="黑体" w:eastAsia="黑体" w:cs="黑体"/>
          <w:szCs w:val="21"/>
          <w:lang w:val="en-US" w:eastAsia="zh-CN"/>
        </w:rPr>
        <w:t>2</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hint="eastAsia" w:ascii="黑体" w:hAnsi="黑体" w:eastAsia="黑体" w:cs="黑体"/>
          <w:szCs w:val="21"/>
        </w:rPr>
        <w:t>残余钠</w:t>
      </w:r>
      <w:r>
        <w:rPr>
          <w:rFonts w:ascii="黑体" w:hAnsi="黑体" w:eastAsia="黑体" w:cs="黑体"/>
          <w:szCs w:val="21"/>
        </w:rPr>
        <w:t>含量</w:t>
      </w:r>
      <w:r>
        <w:rPr>
          <w:rFonts w:hint="eastAsia" w:ascii="黑体" w:hAnsi="黑体" w:eastAsia="黑体" w:cs="黑体"/>
          <w:szCs w:val="21"/>
          <w:lang w:val="en-US" w:eastAsia="zh-CN"/>
        </w:rPr>
        <w:t>的确定</w:t>
      </w:r>
    </w:p>
    <w:p>
      <w:pPr>
        <w:pStyle w:val="2"/>
        <w:keepNext w:val="0"/>
        <w:keepLines w:val="0"/>
        <w:pageBreakBefore w:val="0"/>
        <w:kinsoku/>
        <w:wordWrap/>
        <w:overflowPunct/>
        <w:topLinePunct w:val="0"/>
        <w:bidi w:val="0"/>
        <w:adjustRightInd/>
        <w:spacing w:line="360" w:lineRule="exact"/>
        <w:ind w:firstLine="420" w:firstLineChars="200"/>
        <w:rPr>
          <w:rFonts w:hint="default" w:ascii="Times New Roman" w:hAnsi="Times New Roman"/>
          <w:highlight w:val="none"/>
        </w:rPr>
      </w:pPr>
      <w:r>
        <w:rPr>
          <w:rFonts w:hint="default" w:ascii="Times New Roman" w:hAnsi="Times New Roman"/>
          <w:highlight w:val="none"/>
        </w:rPr>
        <w:t>正极材料在制备过程中通常采用较高的钠配比，反应后残余碱以氢氧化钠和碳酸钠等形式存在，对材料的性能和电池制备工艺有着重要的影响。材料中氢氧化钠、碳酸钠含量高时，制浆时粘度大，将影响材料的加工性能；与此同时，氢氧化钠、碳酸钠含量过高时制成的电池在高温存储时容易出现鼓胀现象从而导致材料容量下降和安全问题，因此需控制材料的氢氧化钠、碳酸钠含量的上限。考虑使用企业要求以及生产企业目前的工艺水平，规定残余钠含量应不大于2.0%。</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ascii="黑体" w:hAnsi="黑体" w:eastAsia="黑体" w:cs="黑体"/>
          <w:szCs w:val="21"/>
          <w:highlight w:val="none"/>
        </w:rPr>
        <w:t>.</w:t>
      </w:r>
      <w:r>
        <w:rPr>
          <w:rFonts w:hint="eastAsia" w:ascii="黑体" w:hAnsi="黑体" w:eastAsia="黑体" w:cs="黑体"/>
          <w:szCs w:val="21"/>
          <w:highlight w:val="none"/>
          <w:lang w:val="en-US" w:eastAsia="zh-CN"/>
        </w:rPr>
        <w:t>3</w:t>
      </w:r>
      <w:r>
        <w:rPr>
          <w:rFonts w:ascii="黑体" w:hAnsi="黑体" w:eastAsia="黑体" w:cs="黑体"/>
          <w:szCs w:val="21"/>
          <w:highlight w:val="none"/>
        </w:rPr>
        <w:t xml:space="preserve"> </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磁性异物</w:t>
      </w:r>
      <w:r>
        <w:rPr>
          <w:rFonts w:hint="eastAsia" w:ascii="黑体" w:hAnsi="黑体" w:eastAsia="黑体" w:cs="黑体"/>
          <w:szCs w:val="21"/>
          <w:highlight w:val="none"/>
          <w:lang w:val="en-US" w:eastAsia="zh-CN"/>
        </w:rPr>
        <w:t>的确定</w:t>
      </w:r>
    </w:p>
    <w:p>
      <w:pPr>
        <w:pStyle w:val="2"/>
        <w:keepNext w:val="0"/>
        <w:keepLines w:val="0"/>
        <w:pageBreakBefore w:val="0"/>
        <w:kinsoku/>
        <w:wordWrap/>
        <w:overflowPunct/>
        <w:topLinePunct w:val="0"/>
        <w:bidi w:val="0"/>
        <w:adjustRightInd/>
        <w:spacing w:line="360" w:lineRule="exact"/>
        <w:ind w:firstLine="420" w:firstLineChars="200"/>
        <w:rPr>
          <w:rFonts w:hint="default" w:ascii="Times New Roman" w:hAnsi="Times New Roman"/>
          <w:highlight w:val="none"/>
        </w:rPr>
      </w:pPr>
      <w:r>
        <w:rPr>
          <w:rFonts w:hint="default" w:ascii="Times New Roman" w:hAnsi="Times New Roman"/>
        </w:rPr>
        <w:t>磁性异物对电池性能影响很大，正极材料中残留的磁性异物在电池中可能会刺穿隔膜，造成短路、自放电现象，严重降低电</w:t>
      </w:r>
      <w:r>
        <w:rPr>
          <w:rFonts w:hint="default" w:ascii="Times New Roman" w:hAnsi="Times New Roman"/>
          <w:highlight w:val="none"/>
        </w:rPr>
        <w:t>池的安全性，因此要严格控制正极材料中磁性异物的含量</w:t>
      </w:r>
      <w:r>
        <w:rPr>
          <w:rFonts w:hint="eastAsia" w:ascii="Times New Roman" w:hAnsi="Times New Roman"/>
          <w:highlight w:val="none"/>
          <w:lang w:eastAsia="zh-CN"/>
        </w:rPr>
        <w:t>。</w:t>
      </w:r>
      <w:r>
        <w:rPr>
          <w:rFonts w:hint="default" w:ascii="Times New Roman" w:hAnsi="Times New Roman"/>
          <w:highlight w:val="none"/>
        </w:rPr>
        <w:t>根据客户需要磁性异物含量应不大于0.0003%。</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hint="eastAsia" w:ascii="黑体" w:hAnsi="黑体" w:eastAsia="黑体" w:cs="黑体"/>
          <w:szCs w:val="21"/>
        </w:rPr>
        <w:t>3.</w:t>
      </w:r>
      <w:r>
        <w:rPr>
          <w:rFonts w:hint="eastAsia" w:ascii="黑体" w:hAnsi="黑体" w:eastAsia="黑体" w:cs="黑体"/>
          <w:szCs w:val="21"/>
          <w:lang w:val="en-US" w:eastAsia="zh-CN"/>
        </w:rPr>
        <w:t>3</w:t>
      </w:r>
      <w:r>
        <w:rPr>
          <w:rFonts w:hint="eastAsia" w:ascii="黑体" w:hAnsi="黑体" w:eastAsia="黑体" w:cs="黑体"/>
          <w:szCs w:val="21"/>
        </w:rPr>
        <w:t>.</w:t>
      </w:r>
      <w:r>
        <w:rPr>
          <w:rFonts w:hint="eastAsia" w:ascii="黑体" w:hAnsi="黑体" w:eastAsia="黑体" w:cs="黑体"/>
          <w:szCs w:val="21"/>
          <w:lang w:val="en-US" w:eastAsia="zh-CN"/>
        </w:rPr>
        <w:t>4</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ascii="黑体" w:hAnsi="黑体" w:eastAsia="黑体" w:cs="黑体"/>
          <w:szCs w:val="21"/>
        </w:rPr>
        <w:t>水分</w:t>
      </w:r>
      <w:r>
        <w:rPr>
          <w:rFonts w:hint="eastAsia" w:ascii="黑体" w:hAnsi="黑体" w:eastAsia="黑体" w:cs="黑体"/>
          <w:szCs w:val="21"/>
          <w:lang w:val="en-US" w:eastAsia="zh-CN"/>
        </w:rPr>
        <w:t>的确定</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rPr>
      </w:pPr>
      <w:r>
        <w:rPr>
          <w:rFonts w:hint="default" w:ascii="Times New Roman" w:hAnsi="Times New Roman"/>
          <w:color w:val="auto"/>
          <w:sz w:val="21"/>
          <w:szCs w:val="21"/>
        </w:rPr>
        <w:t>材料水分</w:t>
      </w:r>
      <w:r>
        <w:rPr>
          <w:rFonts w:hint="eastAsia" w:ascii="Times New Roman" w:hAnsi="Times New Roman"/>
          <w:color w:val="auto"/>
          <w:sz w:val="21"/>
          <w:szCs w:val="21"/>
          <w:lang w:val="en-US" w:eastAsia="zh-CN"/>
        </w:rPr>
        <w:t>过高</w:t>
      </w:r>
      <w:r>
        <w:rPr>
          <w:rFonts w:hint="default" w:ascii="Times New Roman" w:hAnsi="Times New Roman"/>
          <w:color w:val="auto"/>
          <w:sz w:val="21"/>
          <w:szCs w:val="21"/>
        </w:rPr>
        <w:t>会影响电池极片涂覆工艺，若多余水分进入电池中易引发安全问题，故应严格控制产品水分含量。</w:t>
      </w:r>
      <w:r>
        <w:rPr>
          <w:rFonts w:hint="default" w:ascii="Times New Roman" w:hAnsi="Times New Roman"/>
        </w:rPr>
        <w:t>行业内各家企业的水分控制指标如表</w:t>
      </w:r>
      <w:r>
        <w:rPr>
          <w:rFonts w:hint="eastAsia" w:ascii="Times New Roman" w:hAnsi="Times New Roman"/>
          <w:lang w:val="en-US" w:eastAsia="zh-CN"/>
        </w:rPr>
        <w:t>2</w:t>
      </w:r>
      <w:r>
        <w:rPr>
          <w:rFonts w:hint="default" w:ascii="Times New Roman" w:hAnsi="Times New Roman"/>
        </w:rPr>
        <w:t>所示，</w:t>
      </w:r>
      <w:r>
        <w:rPr>
          <w:rFonts w:hint="default" w:ascii="Times New Roman" w:hAnsi="Times New Roman"/>
          <w:color w:val="auto"/>
          <w:sz w:val="21"/>
          <w:szCs w:val="21"/>
        </w:rPr>
        <w:t>考虑生产企业产品情况及使用企业要求，</w:t>
      </w:r>
      <w:r>
        <w:rPr>
          <w:rFonts w:hint="default" w:ascii="Times New Roman" w:hAnsi="Times New Roman"/>
        </w:rPr>
        <w:t>因此选取最大值</w:t>
      </w:r>
      <w:r>
        <w:rPr>
          <w:rFonts w:hint="eastAsia" w:ascii="Times New Roman" w:hAnsi="Times New Roman"/>
          <w:lang w:val="en-US" w:eastAsia="zh-CN"/>
        </w:rPr>
        <w:t>0.2</w:t>
      </w:r>
      <w:r>
        <w:rPr>
          <w:rFonts w:hint="default" w:ascii="Times New Roman" w:hAnsi="Times New Roman"/>
        </w:rPr>
        <w:t>%作为本文件的控制指标。</w:t>
      </w:r>
    </w:p>
    <w:p>
      <w:pPr>
        <w:pStyle w:val="25"/>
        <w:keepNext w:val="0"/>
        <w:keepLines w:val="0"/>
        <w:pageBreakBefore w:val="0"/>
        <w:kinsoku/>
        <w:wordWrap/>
        <w:overflowPunct/>
        <w:topLinePunct w:val="0"/>
        <w:bidi w:val="0"/>
        <w:adjustRightInd/>
        <w:spacing w:line="360" w:lineRule="exact"/>
        <w:rPr>
          <w:rFonts w:hint="eastAsia"/>
        </w:rPr>
      </w:pPr>
      <w:r>
        <w:rPr>
          <w:rFonts w:hint="eastAsia"/>
          <w:lang w:eastAsia="zh-CN"/>
        </w:rPr>
        <w:t>铜铁锰酸钠</w:t>
      </w:r>
      <w:r>
        <w:rPr>
          <w:rFonts w:hint="eastAsia"/>
        </w:rPr>
        <w:t>的水份含量</w:t>
      </w:r>
      <w:r>
        <w:rPr>
          <w:rFonts w:hint="eastAsia"/>
          <w:lang w:val="en-US" w:eastAsia="zh-CN"/>
        </w:rPr>
        <w:t>验证</w:t>
      </w:r>
      <w:r>
        <w:rPr>
          <w:rFonts w:hint="eastAsia"/>
        </w:rPr>
        <w:t>数据</w:t>
      </w:r>
    </w:p>
    <w:tbl>
      <w:tblPr>
        <w:tblStyle w:val="1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2"/>
        <w:gridCol w:w="1277"/>
        <w:gridCol w:w="1446"/>
        <w:gridCol w:w="1505"/>
        <w:gridCol w:w="1518"/>
        <w:gridCol w:w="1518"/>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072" w:type="dxa"/>
            <w:vAlign w:val="center"/>
          </w:tcPr>
          <w:p>
            <w:pPr>
              <w:pStyle w:val="2"/>
              <w:keepNext w:val="0"/>
              <w:keepLines w:val="0"/>
              <w:pageBreakBefore w:val="0"/>
              <w:kinsoku/>
              <w:wordWrap/>
              <w:overflowPunct/>
              <w:topLinePunct w:val="0"/>
              <w:bidi w:val="0"/>
              <w:adjustRightInd/>
              <w:spacing w:line="360" w:lineRule="exact"/>
              <w:jc w:val="center"/>
              <w:rPr>
                <w:rFonts w:ascii="Times New Roman" w:hAnsi="Times New Roman"/>
                <w:sz w:val="18"/>
                <w:szCs w:val="21"/>
              </w:rPr>
            </w:pPr>
          </w:p>
        </w:tc>
        <w:tc>
          <w:tcPr>
            <w:tcW w:w="1277"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样品</w:t>
            </w:r>
          </w:p>
        </w:tc>
        <w:tc>
          <w:tcPr>
            <w:tcW w:w="1446"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样品</w:t>
            </w:r>
          </w:p>
        </w:tc>
        <w:tc>
          <w:tcPr>
            <w:tcW w:w="1505"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样品</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样品</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样品</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72" w:type="dxa"/>
            <w:vAlign w:val="center"/>
          </w:tcPr>
          <w:p>
            <w:pPr>
              <w:pStyle w:val="2"/>
              <w:keepNext w:val="0"/>
              <w:keepLines w:val="0"/>
              <w:pageBreakBefore w:val="0"/>
              <w:kinsoku/>
              <w:wordWrap/>
              <w:overflowPunct/>
              <w:topLinePunct w:val="0"/>
              <w:bidi w:val="0"/>
              <w:adjustRightInd/>
              <w:spacing w:line="360" w:lineRule="exact"/>
              <w:jc w:val="center"/>
              <w:rPr>
                <w:rFonts w:hint="default" w:ascii="Times New Roman" w:hAnsi="Times New Roman" w:eastAsia="宋体"/>
                <w:sz w:val="18"/>
                <w:szCs w:val="21"/>
                <w:lang w:val="en-US" w:eastAsia="zh-CN"/>
              </w:rPr>
            </w:pPr>
            <w:r>
              <w:rPr>
                <w:rFonts w:ascii="Times New Roman" w:hAnsi="Times New Roman"/>
                <w:sz w:val="18"/>
                <w:szCs w:val="21"/>
              </w:rPr>
              <w:t>水分含量</w:t>
            </w:r>
            <w:r>
              <w:rPr>
                <w:rFonts w:hint="eastAsia" w:ascii="Times New Roman" w:hAnsi="Times New Roman"/>
                <w:sz w:val="18"/>
                <w:szCs w:val="21"/>
                <w:lang w:val="en-US" w:eastAsia="zh-CN"/>
              </w:rPr>
              <w:t>/%</w:t>
            </w:r>
          </w:p>
        </w:tc>
        <w:tc>
          <w:tcPr>
            <w:tcW w:w="1277"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0.05</w:t>
            </w:r>
          </w:p>
        </w:tc>
        <w:tc>
          <w:tcPr>
            <w:tcW w:w="1446"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0.14</w:t>
            </w:r>
          </w:p>
        </w:tc>
        <w:tc>
          <w:tcPr>
            <w:tcW w:w="1505"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0.</w:t>
            </w:r>
            <w:r>
              <w:rPr>
                <w:rFonts w:hint="eastAsia" w:cs="Times New Roman"/>
                <w:i w:val="0"/>
                <w:iCs w:val="0"/>
                <w:color w:val="000000"/>
                <w:kern w:val="0"/>
                <w:sz w:val="18"/>
                <w:szCs w:val="18"/>
                <w:u w:val="none"/>
                <w:lang w:val="en-US" w:eastAsia="zh-CN" w:bidi="ar"/>
              </w:rPr>
              <w:t>1</w:t>
            </w:r>
            <w:r>
              <w:rPr>
                <w:rFonts w:hint="default" w:ascii="Times New Roman" w:hAnsi="Times New Roman" w:eastAsia="宋体" w:cs="Times New Roman"/>
                <w:i w:val="0"/>
                <w:iCs w:val="0"/>
                <w:color w:val="000000"/>
                <w:kern w:val="0"/>
                <w:sz w:val="18"/>
                <w:szCs w:val="18"/>
                <w:u w:val="none"/>
                <w:lang w:val="en-US" w:eastAsia="zh-CN" w:bidi="ar"/>
              </w:rPr>
              <w:t>3</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ascii="Times New Roman" w:hAnsi="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0.19</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0.13</w:t>
            </w:r>
          </w:p>
        </w:tc>
        <w:tc>
          <w:tcPr>
            <w:tcW w:w="1518" w:type="dxa"/>
            <w:vAlign w:val="center"/>
          </w:tcPr>
          <w:p>
            <w:pPr>
              <w:keepNext w:val="0"/>
              <w:keepLines w:val="0"/>
              <w:pageBreakBefore w:val="0"/>
              <w:widowControl/>
              <w:suppressLineNumbers w:val="0"/>
              <w:kinsoku/>
              <w:wordWrap/>
              <w:overflowPunct/>
              <w:topLinePunct w:val="0"/>
              <w:bidi w:val="0"/>
              <w:adjustRightInd/>
              <w:spacing w:line="360" w:lineRule="exact"/>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bl>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ascii="黑体" w:hAnsi="黑体" w:eastAsia="黑体" w:cs="黑体"/>
          <w:szCs w:val="21"/>
          <w:highlight w:val="none"/>
        </w:rPr>
        <w:t>.</w:t>
      </w:r>
      <w:r>
        <w:rPr>
          <w:rFonts w:hint="eastAsia" w:ascii="黑体" w:hAnsi="黑体" w:eastAsia="黑体" w:cs="黑体"/>
          <w:szCs w:val="21"/>
          <w:highlight w:val="none"/>
          <w:lang w:val="en-US" w:eastAsia="zh-CN"/>
        </w:rPr>
        <w:t>5</w:t>
      </w:r>
      <w:r>
        <w:rPr>
          <w:rFonts w:hint="default" w:ascii="黑体" w:hAnsi="黑体" w:eastAsia="黑体" w:cs="黑体"/>
          <w:szCs w:val="21"/>
          <w:highlight w:val="none"/>
        </w:rPr>
        <w:t xml:space="preserve"> </w:t>
      </w:r>
      <w:r>
        <w:rPr>
          <w:rFonts w:hint="eastAsia" w:ascii="黑体" w:hAnsi="黑体" w:eastAsia="黑体" w:cs="黑体"/>
          <w:szCs w:val="21"/>
          <w:highlight w:val="none"/>
          <w:lang w:val="en-US" w:eastAsia="zh-CN"/>
        </w:rPr>
        <w:t xml:space="preserve"> </w:t>
      </w:r>
      <w:r>
        <w:rPr>
          <w:rFonts w:hint="default" w:ascii="黑体" w:hAnsi="黑体" w:eastAsia="黑体" w:cs="黑体"/>
          <w:szCs w:val="21"/>
          <w:highlight w:val="none"/>
        </w:rPr>
        <w:t>p</w:t>
      </w:r>
      <w:r>
        <w:rPr>
          <w:rFonts w:ascii="黑体" w:hAnsi="黑体" w:eastAsia="黑体" w:cs="黑体"/>
          <w:szCs w:val="21"/>
          <w:highlight w:val="none"/>
        </w:rPr>
        <w:t>H</w:t>
      </w:r>
      <w:r>
        <w:rPr>
          <w:rFonts w:hint="eastAsia" w:ascii="黑体" w:hAnsi="黑体" w:eastAsia="黑体" w:cs="黑体"/>
          <w:szCs w:val="21"/>
          <w:highlight w:val="none"/>
          <w:lang w:val="en-US" w:eastAsia="zh-CN"/>
        </w:rPr>
        <w:t>的设置</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highlight w:val="none"/>
        </w:rPr>
      </w:pPr>
      <w:r>
        <w:rPr>
          <w:rFonts w:hint="eastAsia" w:ascii="Times New Roman" w:hAnsi="Times New Roman"/>
          <w:lang w:val="en-US" w:eastAsia="zh-CN"/>
        </w:rPr>
        <w:t>根据本</w:t>
      </w:r>
      <w:r>
        <w:rPr>
          <w:rFonts w:ascii="Times New Roman" w:hAnsi="Times New Roman"/>
        </w:rPr>
        <w:t>产品的</w:t>
      </w:r>
      <w:r>
        <w:rPr>
          <w:rFonts w:hint="eastAsia" w:ascii="Times New Roman" w:hAnsi="Times New Roman"/>
          <w:lang w:val="en-US" w:eastAsia="zh-CN"/>
        </w:rPr>
        <w:t>实际情况，</w:t>
      </w:r>
      <w:r>
        <w:rPr>
          <w:rFonts w:hint="default" w:ascii="Times New Roman" w:hAnsi="Times New Roman"/>
        </w:rPr>
        <w:t>p</w:t>
      </w:r>
      <w:r>
        <w:rPr>
          <w:rFonts w:ascii="Times New Roman" w:hAnsi="Times New Roman"/>
        </w:rPr>
        <w:t>H</w:t>
      </w:r>
      <w:r>
        <w:rPr>
          <w:rFonts w:hint="eastAsia" w:ascii="Times New Roman" w:hAnsi="Times New Roman"/>
          <w:lang w:val="en-US" w:eastAsia="zh-CN"/>
        </w:rPr>
        <w:t>设置为</w:t>
      </w:r>
      <w:r>
        <w:rPr>
          <w:rFonts w:ascii="Times New Roman" w:hAnsi="Times New Roman"/>
        </w:rPr>
        <w:t>不</w:t>
      </w:r>
      <w:r>
        <w:rPr>
          <w:rFonts w:ascii="Times New Roman" w:hAnsi="Times New Roman"/>
          <w:highlight w:val="none"/>
        </w:rPr>
        <w:t>大于13</w:t>
      </w:r>
      <w:r>
        <w:rPr>
          <w:rFonts w:hint="default" w:ascii="Times New Roman" w:hAnsi="Times New Roman"/>
          <w:highlight w:val="none"/>
          <w:lang w:val="en-US" w:eastAsia="zh-CN"/>
        </w:rPr>
        <w:t>.0</w:t>
      </w:r>
      <w:r>
        <w:rPr>
          <w:rFonts w:ascii="Times New Roman" w:hAnsi="Times New Roman"/>
          <w:highlight w:val="none"/>
        </w:rPr>
        <w:t>。</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hint="default" w:ascii="黑体" w:hAnsi="黑体" w:eastAsia="黑体" w:cs="黑体"/>
          <w:szCs w:val="21"/>
          <w:highlight w:val="none"/>
        </w:rPr>
        <w:t>.</w:t>
      </w:r>
      <w:r>
        <w:rPr>
          <w:rFonts w:hint="eastAsia" w:ascii="黑体" w:hAnsi="黑体" w:eastAsia="黑体" w:cs="黑体"/>
          <w:szCs w:val="21"/>
          <w:highlight w:val="none"/>
          <w:lang w:val="en-US" w:eastAsia="zh-CN"/>
        </w:rPr>
        <w:t>6</w:t>
      </w:r>
      <w:r>
        <w:rPr>
          <w:rFonts w:hint="default" w:ascii="黑体" w:hAnsi="黑体" w:eastAsia="黑体" w:cs="黑体"/>
          <w:szCs w:val="21"/>
          <w:highlight w:val="none"/>
        </w:rPr>
        <w:t xml:space="preserve"> </w:t>
      </w:r>
      <w:r>
        <w:rPr>
          <w:rFonts w:hint="eastAsia" w:ascii="黑体" w:hAnsi="黑体" w:eastAsia="黑体" w:cs="黑体"/>
          <w:szCs w:val="21"/>
          <w:highlight w:val="none"/>
          <w:lang w:val="en-US" w:eastAsia="zh-CN"/>
        </w:rPr>
        <w:t xml:space="preserve"> </w:t>
      </w:r>
      <w:r>
        <w:rPr>
          <w:rFonts w:ascii="黑体" w:hAnsi="黑体" w:eastAsia="黑体" w:cs="黑体"/>
          <w:szCs w:val="21"/>
          <w:highlight w:val="none"/>
        </w:rPr>
        <w:t>振实密度</w:t>
      </w:r>
      <w:r>
        <w:rPr>
          <w:rFonts w:hint="eastAsia" w:ascii="黑体" w:hAnsi="黑体" w:eastAsia="黑体" w:cs="黑体"/>
          <w:szCs w:val="21"/>
          <w:highlight w:val="none"/>
          <w:lang w:val="en-US" w:eastAsia="zh-CN"/>
        </w:rPr>
        <w:t>的设置</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highlight w:val="none"/>
        </w:rPr>
      </w:pPr>
      <w:r>
        <w:rPr>
          <w:rFonts w:hint="default" w:ascii="Times New Roman" w:hAnsi="Times New Roman"/>
          <w:highlight w:val="none"/>
        </w:rPr>
        <w:t>振实密度是衡量活性材料的一个重要指标，因为</w:t>
      </w:r>
      <w:r>
        <w:rPr>
          <w:rFonts w:hint="eastAsia" w:ascii="Times New Roman" w:hAnsi="Times New Roman"/>
          <w:highlight w:val="none"/>
          <w:lang w:val="en-US" w:eastAsia="zh-CN"/>
        </w:rPr>
        <w:t>钠</w:t>
      </w:r>
      <w:r>
        <w:rPr>
          <w:rFonts w:hint="default" w:ascii="Times New Roman" w:hAnsi="Times New Roman"/>
          <w:highlight w:val="none"/>
        </w:rPr>
        <w:t>离子电池的体积是有限的，振实密度不能过低，而振实密度上限则与产品种类有关，因此振实密度以单边下限控制，根据调研结果要求</w:t>
      </w:r>
      <w:r>
        <w:rPr>
          <w:rFonts w:ascii="Times New Roman" w:hAnsi="Times New Roman"/>
          <w:highlight w:val="none"/>
        </w:rPr>
        <w:t>不小于1.</w:t>
      </w:r>
      <w:r>
        <w:rPr>
          <w:rFonts w:hint="default" w:ascii="Times New Roman" w:hAnsi="Times New Roman"/>
          <w:highlight w:val="none"/>
          <w:lang w:val="en-US" w:eastAsia="zh-CN"/>
        </w:rPr>
        <w:t>4</w:t>
      </w:r>
      <w:r>
        <w:rPr>
          <w:rFonts w:ascii="Times New Roman" w:hAnsi="Times New Roman"/>
          <w:highlight w:val="none"/>
        </w:rPr>
        <w:t xml:space="preserve"> g/cm</w:t>
      </w:r>
      <w:r>
        <w:rPr>
          <w:rFonts w:ascii="Times New Roman" w:hAnsi="Times New Roman"/>
          <w:highlight w:val="none"/>
          <w:vertAlign w:val="superscript"/>
        </w:rPr>
        <w:t>3</w:t>
      </w:r>
      <w:r>
        <w:rPr>
          <w:rFonts w:hint="default" w:ascii="Times New Roman" w:hAnsi="Times New Roman" w:eastAsia="黑体" w:cs="Times New Roman"/>
          <w:szCs w:val="21"/>
          <w:highlight w:val="none"/>
        </w:rPr>
        <w:t>。</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hint="default" w:ascii="黑体" w:hAnsi="黑体" w:eastAsia="黑体" w:cs="黑体"/>
          <w:szCs w:val="21"/>
          <w:highlight w:val="none"/>
        </w:rPr>
        <w:t>.</w:t>
      </w:r>
      <w:r>
        <w:rPr>
          <w:rFonts w:hint="eastAsia" w:ascii="黑体" w:hAnsi="黑体" w:eastAsia="黑体" w:cs="黑体"/>
          <w:szCs w:val="21"/>
          <w:highlight w:val="none"/>
          <w:lang w:val="en-US" w:eastAsia="zh-CN"/>
        </w:rPr>
        <w:t>6</w:t>
      </w:r>
      <w:r>
        <w:rPr>
          <w:rFonts w:hint="default" w:ascii="黑体" w:hAnsi="黑体" w:eastAsia="黑体" w:cs="黑体"/>
          <w:szCs w:val="21"/>
          <w:highlight w:val="none"/>
        </w:rPr>
        <w:t xml:space="preserve"> </w:t>
      </w:r>
      <w:r>
        <w:rPr>
          <w:rFonts w:hint="eastAsia" w:ascii="黑体" w:hAnsi="黑体" w:eastAsia="黑体" w:cs="黑体"/>
          <w:szCs w:val="21"/>
          <w:highlight w:val="none"/>
          <w:lang w:val="en-US" w:eastAsia="zh-CN"/>
        </w:rPr>
        <w:t xml:space="preserve"> </w:t>
      </w:r>
      <w:r>
        <w:rPr>
          <w:rFonts w:ascii="黑体" w:hAnsi="黑体" w:eastAsia="黑体" w:cs="黑体"/>
          <w:szCs w:val="21"/>
          <w:highlight w:val="none"/>
        </w:rPr>
        <w:t>粒度分布</w:t>
      </w:r>
      <w:r>
        <w:rPr>
          <w:rFonts w:hint="eastAsia" w:ascii="黑体" w:hAnsi="黑体" w:eastAsia="黑体" w:cs="黑体"/>
          <w:szCs w:val="21"/>
          <w:highlight w:val="none"/>
          <w:lang w:val="en-US" w:eastAsia="zh-CN"/>
        </w:rPr>
        <w:t>的设置</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highlight w:val="none"/>
        </w:rPr>
      </w:pPr>
      <w:r>
        <w:rPr>
          <w:rFonts w:hint="default" w:ascii="Times New Roman" w:hAnsi="Times New Roman"/>
          <w:highlight w:val="none"/>
        </w:rPr>
        <w:t>粒度分布指标包含D</w:t>
      </w:r>
      <w:r>
        <w:rPr>
          <w:rFonts w:hint="default" w:ascii="Times New Roman" w:hAnsi="Times New Roman"/>
          <w:highlight w:val="none"/>
          <w:vertAlign w:val="subscript"/>
        </w:rPr>
        <w:t>0</w:t>
      </w:r>
      <w:r>
        <w:rPr>
          <w:rFonts w:hint="default" w:ascii="Times New Roman" w:hAnsi="Times New Roman"/>
          <w:highlight w:val="none"/>
        </w:rPr>
        <w:t>、D</w:t>
      </w:r>
      <w:r>
        <w:rPr>
          <w:rFonts w:hint="default" w:ascii="Times New Roman" w:hAnsi="Times New Roman"/>
          <w:highlight w:val="none"/>
          <w:vertAlign w:val="subscript"/>
        </w:rPr>
        <w:t>10</w:t>
      </w:r>
      <w:r>
        <w:rPr>
          <w:rFonts w:hint="default" w:ascii="Times New Roman" w:hAnsi="Times New Roman"/>
          <w:highlight w:val="none"/>
        </w:rPr>
        <w:t>、D</w:t>
      </w:r>
      <w:r>
        <w:rPr>
          <w:rFonts w:hint="default" w:ascii="Times New Roman" w:hAnsi="Times New Roman"/>
          <w:highlight w:val="none"/>
          <w:vertAlign w:val="subscript"/>
        </w:rPr>
        <w:t>50</w:t>
      </w:r>
      <w:r>
        <w:rPr>
          <w:rFonts w:hint="default" w:ascii="Times New Roman" w:hAnsi="Times New Roman"/>
          <w:highlight w:val="none"/>
        </w:rPr>
        <w:t>、D</w:t>
      </w:r>
      <w:r>
        <w:rPr>
          <w:rFonts w:hint="default" w:ascii="Times New Roman" w:hAnsi="Times New Roman"/>
          <w:highlight w:val="none"/>
          <w:vertAlign w:val="subscript"/>
        </w:rPr>
        <w:t>90</w:t>
      </w:r>
      <w:r>
        <w:rPr>
          <w:rFonts w:hint="default" w:ascii="Times New Roman" w:hAnsi="Times New Roman"/>
          <w:highlight w:val="none"/>
        </w:rPr>
        <w:t>和D</w:t>
      </w:r>
      <w:r>
        <w:rPr>
          <w:rFonts w:hint="default" w:ascii="Times New Roman" w:hAnsi="Times New Roman"/>
          <w:highlight w:val="none"/>
          <w:vertAlign w:val="subscript"/>
        </w:rPr>
        <w:t>100</w:t>
      </w:r>
      <w:r>
        <w:rPr>
          <w:rFonts w:hint="default" w:ascii="Times New Roman" w:hAnsi="Times New Roman"/>
          <w:highlight w:val="none"/>
        </w:rPr>
        <w:t>，但是除D</w:t>
      </w:r>
      <w:r>
        <w:rPr>
          <w:rFonts w:hint="default" w:ascii="Times New Roman" w:hAnsi="Times New Roman"/>
          <w:highlight w:val="none"/>
          <w:vertAlign w:val="subscript"/>
        </w:rPr>
        <w:t>50</w:t>
      </w:r>
      <w:r>
        <w:rPr>
          <w:rFonts w:hint="default" w:ascii="Times New Roman" w:hAnsi="Times New Roman"/>
          <w:highlight w:val="none"/>
        </w:rPr>
        <w:t>外，各单位其余粒度分布指标差异过大，难以统一标准，且D</w:t>
      </w:r>
      <w:r>
        <w:rPr>
          <w:rFonts w:hint="default" w:ascii="Times New Roman" w:hAnsi="Times New Roman"/>
          <w:highlight w:val="none"/>
          <w:vertAlign w:val="subscript"/>
        </w:rPr>
        <w:t>50</w:t>
      </w:r>
      <w:r>
        <w:rPr>
          <w:rFonts w:hint="default" w:ascii="Times New Roman" w:hAnsi="Times New Roman"/>
          <w:highlight w:val="none"/>
        </w:rPr>
        <w:t>是粒度分布的核心指标，因此只对D</w:t>
      </w:r>
      <w:r>
        <w:rPr>
          <w:rFonts w:hint="default" w:ascii="Times New Roman" w:hAnsi="Times New Roman"/>
          <w:highlight w:val="none"/>
          <w:vertAlign w:val="subscript"/>
        </w:rPr>
        <w:t>50</w:t>
      </w:r>
      <w:r>
        <w:rPr>
          <w:rFonts w:hint="default" w:ascii="Times New Roman" w:hAnsi="Times New Roman"/>
          <w:highlight w:val="none"/>
        </w:rPr>
        <w:t>作要求，根据调研结果定为</w:t>
      </w:r>
      <w:r>
        <w:rPr>
          <w:rFonts w:hint="default" w:ascii="Times New Roman" w:hAnsi="Times New Roman"/>
          <w:highlight w:val="none"/>
          <w:lang w:val="en-US" w:eastAsia="zh-CN"/>
        </w:rPr>
        <w:t>3.0</w:t>
      </w:r>
      <w:r>
        <w:rPr>
          <w:rFonts w:ascii="Times New Roman" w:hAnsi="Times New Roman"/>
          <w:highlight w:val="none"/>
        </w:rPr>
        <w:t xml:space="preserve"> μm～</w:t>
      </w:r>
      <w:r>
        <w:rPr>
          <w:rFonts w:hint="default" w:ascii="Times New Roman" w:hAnsi="Times New Roman"/>
          <w:highlight w:val="none"/>
          <w:lang w:val="en-US" w:eastAsia="zh-CN"/>
        </w:rPr>
        <w:t>15.0</w:t>
      </w:r>
      <w:r>
        <w:rPr>
          <w:rFonts w:ascii="Times New Roman" w:hAnsi="Times New Roman"/>
          <w:highlight w:val="none"/>
        </w:rPr>
        <w:t xml:space="preserve"> μm</w:t>
      </w:r>
      <w:r>
        <w:rPr>
          <w:rFonts w:hint="default" w:ascii="Times New Roman" w:hAnsi="Times New Roman"/>
          <w:highlight w:val="none"/>
        </w:rPr>
        <w:t>。</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ascii="黑体" w:hAnsi="黑体" w:eastAsia="黑体" w:cs="黑体"/>
          <w:szCs w:val="21"/>
          <w:highlight w:val="none"/>
        </w:rPr>
        <w:t>.</w:t>
      </w:r>
      <w:r>
        <w:rPr>
          <w:rFonts w:hint="eastAsia" w:ascii="黑体" w:hAnsi="黑体" w:eastAsia="黑体" w:cs="黑体"/>
          <w:szCs w:val="21"/>
          <w:highlight w:val="none"/>
          <w:lang w:val="en-US" w:eastAsia="zh-CN"/>
        </w:rPr>
        <w:t xml:space="preserve">7 </w:t>
      </w:r>
      <w:r>
        <w:rPr>
          <w:rFonts w:hint="default" w:ascii="黑体" w:hAnsi="黑体" w:eastAsia="黑体" w:cs="黑体"/>
          <w:szCs w:val="21"/>
          <w:highlight w:val="none"/>
        </w:rPr>
        <w:t xml:space="preserve"> </w:t>
      </w:r>
      <w:r>
        <w:rPr>
          <w:rFonts w:ascii="黑体" w:hAnsi="黑体" w:eastAsia="黑体" w:cs="黑体"/>
          <w:szCs w:val="21"/>
          <w:highlight w:val="none"/>
        </w:rPr>
        <w:t>比表面积</w:t>
      </w:r>
      <w:r>
        <w:rPr>
          <w:rFonts w:hint="eastAsia" w:ascii="黑体" w:hAnsi="黑体" w:eastAsia="黑体" w:cs="黑体"/>
          <w:szCs w:val="21"/>
          <w:highlight w:val="none"/>
          <w:lang w:val="en-US" w:eastAsia="zh-CN"/>
        </w:rPr>
        <w:t>的设置</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highlight w:val="none"/>
        </w:rPr>
      </w:pPr>
      <w:r>
        <w:rPr>
          <w:rFonts w:ascii="Times New Roman" w:hAnsi="Times New Roman"/>
          <w:highlight w:val="none"/>
        </w:rPr>
        <w:t>产品的比表面积</w:t>
      </w:r>
      <w:r>
        <w:rPr>
          <w:rFonts w:hint="eastAsia" w:ascii="Times New Roman" w:hAnsi="Times New Roman"/>
          <w:highlight w:val="none"/>
          <w:lang w:val="en-US" w:eastAsia="zh-CN"/>
        </w:rPr>
        <w:t>与粒径分布指标相关，根据本标准设置的粒径分布指标，比表面积指标设置</w:t>
      </w:r>
      <w:r>
        <w:rPr>
          <w:rFonts w:ascii="Times New Roman" w:hAnsi="Times New Roman"/>
          <w:highlight w:val="none"/>
        </w:rPr>
        <w:t>为0.</w:t>
      </w:r>
      <w:r>
        <w:rPr>
          <w:rFonts w:hint="default" w:ascii="Times New Roman" w:hAnsi="Times New Roman"/>
          <w:highlight w:val="none"/>
          <w:lang w:val="en-US" w:eastAsia="zh-CN"/>
        </w:rPr>
        <w:t>1</w:t>
      </w:r>
      <w:r>
        <w:rPr>
          <w:rFonts w:hint="eastAsia" w:ascii="Times New Roman" w:hAnsi="Times New Roman"/>
          <w:highlight w:val="none"/>
          <w:lang w:val="en-US" w:eastAsia="zh-CN"/>
        </w:rPr>
        <w:t xml:space="preserve"> </w:t>
      </w:r>
      <w:r>
        <w:rPr>
          <w:rFonts w:ascii="Times New Roman" w:hAnsi="Times New Roman"/>
          <w:highlight w:val="none"/>
        </w:rPr>
        <w:t>m</w:t>
      </w:r>
      <w:r>
        <w:rPr>
          <w:rFonts w:ascii="Times New Roman" w:hAnsi="Times New Roman"/>
          <w:highlight w:val="none"/>
          <w:vertAlign w:val="superscript"/>
        </w:rPr>
        <w:t>2</w:t>
      </w:r>
      <w:r>
        <w:rPr>
          <w:rFonts w:ascii="Times New Roman" w:hAnsi="Times New Roman"/>
          <w:highlight w:val="none"/>
        </w:rPr>
        <w:t>/g~1</w:t>
      </w:r>
      <w:r>
        <w:rPr>
          <w:rFonts w:hint="default" w:ascii="Times New Roman" w:hAnsi="Times New Roman"/>
          <w:highlight w:val="none"/>
          <w:lang w:val="en-US" w:eastAsia="zh-CN"/>
        </w:rPr>
        <w:t>.0</w:t>
      </w:r>
      <w:r>
        <w:rPr>
          <w:rFonts w:ascii="Times New Roman" w:hAnsi="Times New Roman"/>
          <w:highlight w:val="none"/>
        </w:rPr>
        <w:t xml:space="preserve"> m</w:t>
      </w:r>
      <w:r>
        <w:rPr>
          <w:rFonts w:ascii="Times New Roman" w:hAnsi="Times New Roman"/>
          <w:highlight w:val="none"/>
          <w:vertAlign w:val="superscript"/>
        </w:rPr>
        <w:t>2</w:t>
      </w:r>
      <w:r>
        <w:rPr>
          <w:rFonts w:ascii="Times New Roman" w:hAnsi="Times New Roman"/>
          <w:highlight w:val="none"/>
        </w:rPr>
        <w:t>/g。</w:t>
      </w:r>
    </w:p>
    <w:p>
      <w:pPr>
        <w:keepNext w:val="0"/>
        <w:keepLines w:val="0"/>
        <w:pageBreakBefore w:val="0"/>
        <w:kinsoku/>
        <w:wordWrap/>
        <w:overflowPunct/>
        <w:topLinePunct w:val="0"/>
        <w:bidi w:val="0"/>
        <w:adjustRightInd/>
        <w:spacing w:before="156" w:beforeLines="50" w:after="156" w:afterLines="50" w:line="360" w:lineRule="exact"/>
        <w:outlineLvl w:val="1"/>
        <w:rPr>
          <w:rFonts w:ascii="黑体" w:hAnsi="黑体" w:eastAsia="黑体" w:cs="黑体"/>
          <w:szCs w:val="21"/>
          <w:highlight w:val="none"/>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hint="default" w:ascii="黑体" w:hAnsi="黑体" w:eastAsia="黑体" w:cs="黑体"/>
          <w:szCs w:val="21"/>
          <w:highlight w:val="none"/>
        </w:rPr>
        <w:t>.</w:t>
      </w:r>
      <w:r>
        <w:rPr>
          <w:rFonts w:hint="eastAsia" w:ascii="黑体" w:hAnsi="黑体" w:eastAsia="黑体" w:cs="黑体"/>
          <w:szCs w:val="21"/>
          <w:highlight w:val="none"/>
          <w:lang w:val="en-US" w:eastAsia="zh-CN"/>
        </w:rPr>
        <w:t>8</w:t>
      </w:r>
      <w:r>
        <w:rPr>
          <w:rFonts w:hint="default" w:ascii="黑体" w:hAnsi="黑体" w:eastAsia="黑体" w:cs="黑体"/>
          <w:szCs w:val="21"/>
          <w:highlight w:val="none"/>
        </w:rPr>
        <w:t xml:space="preserve">  首次放电比容量</w:t>
      </w:r>
      <w:r>
        <w:rPr>
          <w:rFonts w:hint="eastAsia" w:ascii="黑体" w:hAnsi="黑体" w:eastAsia="黑体" w:cs="黑体"/>
          <w:szCs w:val="21"/>
          <w:highlight w:val="none"/>
          <w:lang w:val="en-US" w:eastAsia="zh-CN"/>
        </w:rPr>
        <w:t>的设置</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hint="default" w:eastAsia="宋体"/>
          <w:kern w:val="0"/>
          <w:lang w:val="en-US" w:eastAsia="zh-CN"/>
        </w:rPr>
      </w:pPr>
      <w:r>
        <w:rPr>
          <w:rFonts w:hint="eastAsia" w:cs="宋体"/>
          <w:kern w:val="0"/>
          <w:lang w:bidi="ar"/>
        </w:rPr>
        <w:t>产品在电压范围</w:t>
      </w:r>
      <w:r>
        <w:rPr>
          <w:kern w:val="0"/>
          <w:lang w:bidi="ar"/>
        </w:rPr>
        <w:t>2</w:t>
      </w:r>
      <w:r>
        <w:rPr>
          <w:rFonts w:hint="eastAsia"/>
          <w:kern w:val="0"/>
          <w:lang w:val="en-US" w:eastAsia="zh-CN" w:bidi="ar"/>
        </w:rPr>
        <w:t>.0</w:t>
      </w:r>
      <w:r>
        <w:rPr>
          <w:kern w:val="0"/>
          <w:lang w:bidi="ar"/>
        </w:rPr>
        <w:t xml:space="preserve"> V</w:t>
      </w:r>
      <w:r>
        <w:rPr>
          <w:rFonts w:hint="eastAsia" w:cs="宋体"/>
          <w:kern w:val="0"/>
          <w:lang w:bidi="ar"/>
        </w:rPr>
        <w:t>～</w:t>
      </w:r>
      <w:r>
        <w:rPr>
          <w:kern w:val="0"/>
          <w:lang w:bidi="ar"/>
        </w:rPr>
        <w:t>4</w:t>
      </w:r>
      <w:r>
        <w:rPr>
          <w:rFonts w:hint="eastAsia"/>
          <w:kern w:val="0"/>
          <w:lang w:val="en-US" w:eastAsia="zh-CN" w:bidi="ar"/>
        </w:rPr>
        <w:t>.0</w:t>
      </w:r>
      <w:r>
        <w:rPr>
          <w:kern w:val="0"/>
          <w:lang w:bidi="ar"/>
        </w:rPr>
        <w:t xml:space="preserve"> V</w:t>
      </w:r>
      <w:r>
        <w:rPr>
          <w:rFonts w:hint="eastAsia" w:cs="宋体"/>
          <w:kern w:val="0"/>
          <w:lang w:bidi="ar"/>
        </w:rPr>
        <w:t>，</w:t>
      </w:r>
      <w:r>
        <w:rPr>
          <w:kern w:val="0"/>
          <w:lang w:bidi="ar"/>
        </w:rPr>
        <w:t xml:space="preserve">0.1 C </w:t>
      </w:r>
      <w:r>
        <w:rPr>
          <w:rFonts w:hint="eastAsia" w:cs="宋体"/>
          <w:kern w:val="0"/>
          <w:lang w:bidi="ar"/>
        </w:rPr>
        <w:t>充放电倍率条件下的首次放电比容量应</w:t>
      </w:r>
      <w:r>
        <w:rPr>
          <w:rFonts w:hint="eastAsia" w:cs="宋体"/>
          <w:kern w:val="0"/>
          <w:highlight w:val="none"/>
          <w:lang w:bidi="ar"/>
        </w:rPr>
        <w:t>不小于</w:t>
      </w:r>
      <w:r>
        <w:rPr>
          <w:kern w:val="0"/>
          <w:highlight w:val="none"/>
          <w:lang w:bidi="ar"/>
        </w:rPr>
        <w:t>1</w:t>
      </w:r>
      <w:r>
        <w:rPr>
          <w:rFonts w:hint="eastAsia"/>
          <w:kern w:val="0"/>
          <w:highlight w:val="none"/>
          <w:lang w:val="en-US" w:eastAsia="zh-CN" w:bidi="ar"/>
        </w:rPr>
        <w:t>0</w:t>
      </w:r>
      <w:r>
        <w:rPr>
          <w:kern w:val="0"/>
          <w:highlight w:val="none"/>
          <w:lang w:bidi="ar"/>
        </w:rPr>
        <w:t>0 mAh/g</w:t>
      </w:r>
      <w:r>
        <w:rPr>
          <w:rFonts w:hint="eastAsia" w:cs="宋体"/>
          <w:kern w:val="0"/>
          <w:highlight w:val="none"/>
          <w:lang w:bidi="ar"/>
        </w:rPr>
        <w:t>。</w:t>
      </w:r>
    </w:p>
    <w:p>
      <w:pPr>
        <w:keepNext w:val="0"/>
        <w:keepLines w:val="0"/>
        <w:pageBreakBefore w:val="0"/>
        <w:kinsoku/>
        <w:wordWrap/>
        <w:overflowPunct/>
        <w:topLinePunct w:val="0"/>
        <w:bidi w:val="0"/>
        <w:adjustRightInd/>
        <w:spacing w:before="156" w:beforeLines="50" w:after="156" w:afterLines="50" w:line="360" w:lineRule="exact"/>
        <w:outlineLvl w:val="1"/>
        <w:rPr>
          <w:rFonts w:ascii="黑体" w:hAnsi="黑体" w:eastAsia="黑体" w:cs="黑体"/>
          <w:szCs w:val="21"/>
        </w:rPr>
      </w:pPr>
      <w:r>
        <w:rPr>
          <w:rFonts w:ascii="黑体" w:hAnsi="黑体" w:eastAsia="黑体" w:cs="黑体"/>
          <w:szCs w:val="21"/>
        </w:rPr>
        <w:t>3.</w:t>
      </w:r>
      <w:r>
        <w:rPr>
          <w:rFonts w:hint="eastAsia" w:ascii="黑体" w:hAnsi="黑体" w:eastAsia="黑体" w:cs="黑体"/>
          <w:szCs w:val="21"/>
          <w:lang w:val="en-US" w:eastAsia="zh-CN"/>
        </w:rPr>
        <w:t>3</w:t>
      </w:r>
      <w:r>
        <w:rPr>
          <w:rFonts w:hint="eastAsia" w:ascii="黑体" w:hAnsi="黑体" w:eastAsia="黑体" w:cs="黑体"/>
          <w:szCs w:val="21"/>
        </w:rPr>
        <w:t>.</w:t>
      </w:r>
      <w:r>
        <w:rPr>
          <w:rFonts w:hint="eastAsia" w:ascii="黑体" w:hAnsi="黑体" w:eastAsia="黑体" w:cs="黑体"/>
          <w:szCs w:val="21"/>
          <w:lang w:val="en-US" w:eastAsia="zh-CN"/>
        </w:rPr>
        <w:t>9</w:t>
      </w:r>
      <w:r>
        <w:rPr>
          <w:rFonts w:hint="eastAsia" w:ascii="黑体" w:hAnsi="黑体" w:eastAsia="黑体" w:cs="黑体"/>
          <w:szCs w:val="21"/>
        </w:rPr>
        <w:t xml:space="preserve">  首次充放电效率</w:t>
      </w:r>
      <w:r>
        <w:rPr>
          <w:rFonts w:hint="eastAsia" w:ascii="黑体" w:hAnsi="黑体" w:eastAsia="黑体" w:cs="黑体"/>
          <w:szCs w:val="21"/>
          <w:highlight w:val="none"/>
          <w:lang w:val="en-US" w:eastAsia="zh-CN"/>
        </w:rPr>
        <w:t>的设置</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hint="default" w:eastAsia="宋体"/>
          <w:kern w:val="0"/>
          <w:highlight w:val="none"/>
          <w:lang w:val="en-US" w:eastAsia="zh-CN"/>
        </w:rPr>
      </w:pPr>
      <w:r>
        <w:rPr>
          <w:rFonts w:hint="eastAsia" w:cs="宋体"/>
          <w:kern w:val="0"/>
          <w:highlight w:val="none"/>
          <w:lang w:bidi="ar"/>
        </w:rPr>
        <w:t>产品在电压范围</w:t>
      </w:r>
      <w:r>
        <w:rPr>
          <w:kern w:val="0"/>
          <w:highlight w:val="none"/>
          <w:lang w:bidi="ar"/>
        </w:rPr>
        <w:t>2</w:t>
      </w:r>
      <w:r>
        <w:rPr>
          <w:rFonts w:hint="eastAsia"/>
          <w:kern w:val="0"/>
          <w:highlight w:val="none"/>
          <w:lang w:val="en-US" w:eastAsia="zh-CN" w:bidi="ar"/>
        </w:rPr>
        <w:t>.0</w:t>
      </w:r>
      <w:r>
        <w:rPr>
          <w:kern w:val="0"/>
          <w:highlight w:val="none"/>
          <w:lang w:bidi="ar"/>
        </w:rPr>
        <w:t xml:space="preserve"> V</w:t>
      </w:r>
      <w:r>
        <w:rPr>
          <w:rFonts w:hint="eastAsia" w:cs="宋体"/>
          <w:kern w:val="0"/>
          <w:highlight w:val="none"/>
          <w:lang w:bidi="ar"/>
        </w:rPr>
        <w:t>～</w:t>
      </w:r>
      <w:r>
        <w:rPr>
          <w:kern w:val="0"/>
          <w:highlight w:val="none"/>
          <w:lang w:bidi="ar"/>
        </w:rPr>
        <w:t>4</w:t>
      </w:r>
      <w:r>
        <w:rPr>
          <w:rFonts w:hint="eastAsia"/>
          <w:kern w:val="0"/>
          <w:highlight w:val="none"/>
          <w:lang w:val="en-US" w:eastAsia="zh-CN" w:bidi="ar"/>
        </w:rPr>
        <w:t>.0</w:t>
      </w:r>
      <w:r>
        <w:rPr>
          <w:kern w:val="0"/>
          <w:highlight w:val="none"/>
          <w:lang w:bidi="ar"/>
        </w:rPr>
        <w:t xml:space="preserve"> V</w:t>
      </w:r>
      <w:r>
        <w:rPr>
          <w:rFonts w:hint="eastAsia" w:cs="宋体"/>
          <w:kern w:val="0"/>
          <w:highlight w:val="none"/>
          <w:lang w:bidi="ar"/>
        </w:rPr>
        <w:t>，</w:t>
      </w:r>
      <w:r>
        <w:rPr>
          <w:kern w:val="0"/>
          <w:highlight w:val="none"/>
          <w:lang w:bidi="ar"/>
        </w:rPr>
        <w:t xml:space="preserve">0.1 C </w:t>
      </w:r>
      <w:r>
        <w:rPr>
          <w:rFonts w:hint="eastAsia" w:cs="宋体"/>
          <w:kern w:val="0"/>
          <w:highlight w:val="none"/>
          <w:lang w:bidi="ar"/>
        </w:rPr>
        <w:t>充放电倍率条件下的首次充放电效率应不小于</w:t>
      </w:r>
      <w:r>
        <w:rPr>
          <w:rFonts w:hint="eastAsia"/>
          <w:kern w:val="0"/>
          <w:highlight w:val="none"/>
          <w:lang w:val="en-US" w:eastAsia="zh-CN" w:bidi="ar"/>
        </w:rPr>
        <w:t>80</w:t>
      </w:r>
      <w:r>
        <w:rPr>
          <w:kern w:val="0"/>
          <w:highlight w:val="none"/>
          <w:lang w:bidi="ar"/>
        </w:rPr>
        <w:t>%</w:t>
      </w:r>
      <w:r>
        <w:rPr>
          <w:rFonts w:hint="eastAsia"/>
          <w:kern w:val="0"/>
          <w:highlight w:val="none"/>
          <w:lang w:val="en-US" w:eastAsia="zh-CN" w:bidi="ar"/>
        </w:rPr>
        <w:t>。</w:t>
      </w:r>
    </w:p>
    <w:p>
      <w:pPr>
        <w:keepNext w:val="0"/>
        <w:keepLines w:val="0"/>
        <w:pageBreakBefore w:val="0"/>
        <w:kinsoku/>
        <w:wordWrap/>
        <w:overflowPunct/>
        <w:topLinePunct w:val="0"/>
        <w:bidi w:val="0"/>
        <w:adjustRightInd/>
        <w:spacing w:before="156" w:beforeLines="50" w:after="156" w:afterLines="50" w:line="360" w:lineRule="exact"/>
        <w:outlineLvl w:val="1"/>
        <w:rPr>
          <w:rFonts w:ascii="黑体" w:hAnsi="黑体" w:eastAsia="黑体" w:cs="黑体"/>
          <w:szCs w:val="21"/>
          <w:highlight w:val="none"/>
        </w:rPr>
      </w:pPr>
      <w:r>
        <w:rPr>
          <w:rFonts w:ascii="黑体" w:hAnsi="黑体" w:eastAsia="黑体" w:cs="黑体"/>
          <w:szCs w:val="21"/>
          <w:highlight w:val="none"/>
        </w:rPr>
        <w:t>3.</w:t>
      </w:r>
      <w:r>
        <w:rPr>
          <w:rFonts w:hint="eastAsia" w:ascii="黑体" w:hAnsi="黑体" w:eastAsia="黑体" w:cs="黑体"/>
          <w:szCs w:val="21"/>
          <w:highlight w:val="none"/>
          <w:lang w:val="en-US" w:eastAsia="zh-CN"/>
        </w:rPr>
        <w:t>3</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10</w:t>
      </w:r>
      <w:r>
        <w:rPr>
          <w:rFonts w:hint="eastAsia" w:ascii="黑体" w:hAnsi="黑体" w:eastAsia="黑体" w:cs="黑体"/>
          <w:szCs w:val="21"/>
          <w:highlight w:val="none"/>
        </w:rPr>
        <w:t xml:space="preserve">  循环寿命</w:t>
      </w:r>
      <w:r>
        <w:rPr>
          <w:rFonts w:hint="eastAsia" w:ascii="黑体" w:hAnsi="黑体" w:eastAsia="黑体" w:cs="黑体"/>
          <w:szCs w:val="21"/>
          <w:highlight w:val="none"/>
          <w:lang w:val="en-US" w:eastAsia="zh-CN"/>
        </w:rPr>
        <w:t>的设置</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cs="宋体"/>
          <w:kern w:val="0"/>
          <w:lang w:bidi="ar"/>
        </w:rPr>
      </w:pPr>
      <w:r>
        <w:rPr>
          <w:rFonts w:hint="eastAsia" w:cs="宋体"/>
          <w:kern w:val="0"/>
          <w:highlight w:val="none"/>
          <w:lang w:bidi="ar"/>
        </w:rPr>
        <w:t>目</w:t>
      </w:r>
      <w:r>
        <w:rPr>
          <w:rFonts w:hint="eastAsia" w:cs="宋体"/>
          <w:kern w:val="0"/>
          <w:lang w:bidi="ar"/>
        </w:rPr>
        <w:t>前，正极材料电性能的评价指标主要包括首次放电比容量、首次充放电效率和循环寿命。其中首次放电比容量和充放电电压范围息息相关，根据调研数据显示，</w:t>
      </w:r>
      <w:r>
        <w:rPr>
          <w:rFonts w:hint="eastAsia" w:cs="宋体"/>
          <w:kern w:val="0"/>
          <w:lang w:val="en-US" w:eastAsia="zh-CN" w:bidi="ar"/>
        </w:rPr>
        <w:t>在常温下，5</w:t>
      </w:r>
      <w:r>
        <w:rPr>
          <w:rFonts w:hint="eastAsia" w:cs="宋体"/>
          <w:kern w:val="0"/>
          <w:lang w:bidi="ar"/>
        </w:rPr>
        <w:t>家单位的电压范围均为2</w:t>
      </w:r>
      <w:r>
        <w:rPr>
          <w:rFonts w:hint="eastAsia" w:cs="宋体"/>
          <w:kern w:val="0"/>
          <w:lang w:val="en-US" w:eastAsia="zh-CN" w:bidi="ar"/>
        </w:rPr>
        <w:t>.0</w:t>
      </w:r>
      <w:r>
        <w:rPr>
          <w:rFonts w:hint="eastAsia" w:cs="宋体"/>
          <w:kern w:val="0"/>
          <w:lang w:bidi="ar"/>
        </w:rPr>
        <w:t>~4</w:t>
      </w:r>
      <w:r>
        <w:rPr>
          <w:rFonts w:hint="eastAsia" w:cs="宋体"/>
          <w:kern w:val="0"/>
          <w:lang w:val="en-US" w:eastAsia="zh-CN" w:bidi="ar"/>
        </w:rPr>
        <w:t>.0</w:t>
      </w:r>
      <w:r>
        <w:rPr>
          <w:rFonts w:hint="eastAsia" w:cs="宋体"/>
          <w:kern w:val="0"/>
          <w:lang w:bidi="ar"/>
        </w:rPr>
        <w:t>V，因此电性能的电压范围均按2</w:t>
      </w:r>
      <w:r>
        <w:rPr>
          <w:rFonts w:hint="eastAsia" w:cs="宋体"/>
          <w:kern w:val="0"/>
          <w:lang w:val="en-US" w:eastAsia="zh-CN" w:bidi="ar"/>
        </w:rPr>
        <w:t>.0</w:t>
      </w:r>
      <w:r>
        <w:rPr>
          <w:rFonts w:hint="eastAsia" w:cs="宋体"/>
          <w:kern w:val="0"/>
          <w:lang w:bidi="ar"/>
        </w:rPr>
        <w:t>~4</w:t>
      </w:r>
      <w:r>
        <w:rPr>
          <w:rFonts w:hint="eastAsia" w:cs="宋体"/>
          <w:kern w:val="0"/>
          <w:lang w:val="en-US" w:eastAsia="zh-CN" w:bidi="ar"/>
        </w:rPr>
        <w:t>.0</w:t>
      </w:r>
      <w:r>
        <w:rPr>
          <w:rFonts w:hint="eastAsia" w:cs="宋体"/>
          <w:kern w:val="0"/>
          <w:lang w:bidi="ar"/>
        </w:rPr>
        <w:t>V进行规定。</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kern w:val="0"/>
        </w:rPr>
      </w:pPr>
      <w:r>
        <w:rPr>
          <w:rFonts w:hint="eastAsia" w:cs="宋体"/>
          <w:kern w:val="0"/>
          <w:lang w:bidi="ar"/>
        </w:rPr>
        <w:t>首次放电比容量和首次充放电效率均按参照调研数据进行设定。循环寿命不同企业产品之间差异较大，但是大部分企业循环寿命在</w:t>
      </w:r>
      <w:r>
        <w:rPr>
          <w:rFonts w:hint="eastAsia" w:cs="宋体"/>
          <w:kern w:val="0"/>
          <w:lang w:val="en-US" w:eastAsia="zh-CN" w:bidi="ar"/>
        </w:rPr>
        <w:t>3</w:t>
      </w:r>
      <w:r>
        <w:rPr>
          <w:rFonts w:hint="eastAsia" w:cs="宋体"/>
          <w:kern w:val="0"/>
          <w:lang w:bidi="ar"/>
        </w:rPr>
        <w:t>00周以下，综合考虑行业发展现状和调研数据，定为循环次数应不低于</w:t>
      </w:r>
      <w:r>
        <w:rPr>
          <w:rFonts w:hint="eastAsia"/>
          <w:kern w:val="0"/>
          <w:lang w:val="en-US" w:eastAsia="zh-CN" w:bidi="ar"/>
        </w:rPr>
        <w:t>100</w:t>
      </w:r>
      <w:r>
        <w:rPr>
          <w:rFonts w:hint="eastAsia" w:cs="宋体"/>
          <w:kern w:val="0"/>
          <w:lang w:bidi="ar"/>
        </w:rPr>
        <w:t>次。</w:t>
      </w:r>
    </w:p>
    <w:p>
      <w:pPr>
        <w:keepNext w:val="0"/>
        <w:keepLines w:val="0"/>
        <w:pageBreakBefore w:val="0"/>
        <w:kinsoku/>
        <w:wordWrap/>
        <w:overflowPunct/>
        <w:topLinePunct w:val="0"/>
        <w:bidi w:val="0"/>
        <w:adjustRightInd/>
        <w:spacing w:before="156" w:beforeLines="50" w:after="156" w:afterLines="50" w:line="360" w:lineRule="exact"/>
        <w:outlineLvl w:val="1"/>
        <w:rPr>
          <w:rFonts w:ascii="黑体" w:hAnsi="黑体" w:eastAsia="黑体" w:cs="黑体"/>
          <w:szCs w:val="21"/>
        </w:rPr>
      </w:pPr>
      <w:r>
        <w:rPr>
          <w:rFonts w:hint="eastAsia" w:ascii="黑体" w:hAnsi="黑体" w:eastAsia="黑体" w:cs="黑体"/>
          <w:szCs w:val="21"/>
          <w:lang w:eastAsia="zh-CN"/>
        </w:rPr>
        <w:t>4</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hint="eastAsia" w:ascii="黑体" w:hAnsi="黑体" w:eastAsia="黑体" w:cs="黑体"/>
          <w:szCs w:val="21"/>
        </w:rPr>
        <w:t>试验方法的确定</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rPr>
        <w:t xml:space="preserve">.1 </w:t>
      </w:r>
      <w:r>
        <w:rPr>
          <w:rFonts w:hint="eastAsia" w:ascii="黑体" w:hAnsi="黑体" w:eastAsia="黑体" w:cs="黑体"/>
          <w:szCs w:val="21"/>
          <w:lang w:val="en-US" w:eastAsia="zh-CN"/>
        </w:rPr>
        <w:t xml:space="preserve"> </w:t>
      </w:r>
      <w:r>
        <w:rPr>
          <w:rFonts w:hint="eastAsia" w:ascii="黑体" w:hAnsi="黑体" w:eastAsia="黑体" w:cs="黑体"/>
          <w:szCs w:val="21"/>
        </w:rPr>
        <w:t>化学成分</w:t>
      </w:r>
      <w:r>
        <w:rPr>
          <w:rFonts w:hint="eastAsia" w:ascii="黑体" w:hAnsi="黑体" w:eastAsia="黑体" w:cs="黑体"/>
          <w:szCs w:val="21"/>
          <w:lang w:val="en-US" w:eastAsia="zh-CN"/>
        </w:rPr>
        <w:t>的测定</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szCs w:val="20"/>
          <w:highlight w:val="none"/>
        </w:rPr>
      </w:pPr>
      <w:r>
        <w:rPr>
          <w:rFonts w:hint="eastAsia" w:ascii="Times New Roman" w:hAnsi="Times New Roman"/>
          <w:szCs w:val="20"/>
        </w:rPr>
        <w:t>化学成分的测定主要参考YS</w:t>
      </w:r>
      <w:r>
        <w:rPr>
          <w:rFonts w:ascii="Times New Roman" w:hAnsi="Times New Roman"/>
          <w:szCs w:val="20"/>
        </w:rPr>
        <w:t xml:space="preserve">/T </w:t>
      </w:r>
      <w:r>
        <w:rPr>
          <w:rFonts w:hint="eastAsia" w:ascii="Times New Roman" w:hAnsi="Times New Roman"/>
          <w:szCs w:val="20"/>
        </w:rPr>
        <w:t>1006</w:t>
      </w:r>
      <w:r>
        <w:rPr>
          <w:rFonts w:ascii="Times New Roman" w:hAnsi="Times New Roman"/>
          <w:szCs w:val="20"/>
        </w:rPr>
        <w:t>《镍钴锰</w:t>
      </w:r>
      <w:r>
        <w:rPr>
          <w:rFonts w:hint="eastAsia" w:ascii="Times New Roman" w:hAnsi="Times New Roman"/>
          <w:szCs w:val="20"/>
        </w:rPr>
        <w:t>酸锂化学分析方法</w:t>
      </w:r>
      <w:r>
        <w:rPr>
          <w:rFonts w:ascii="Times New Roman" w:hAnsi="Times New Roman"/>
          <w:szCs w:val="20"/>
        </w:rPr>
        <w:t>》</w:t>
      </w:r>
      <w:r>
        <w:rPr>
          <w:rFonts w:hint="eastAsia" w:ascii="Times New Roman" w:hAnsi="Times New Roman"/>
          <w:szCs w:val="20"/>
          <w:lang w:eastAsia="zh-CN"/>
        </w:rPr>
        <w:t>，</w:t>
      </w:r>
      <w:r>
        <w:rPr>
          <w:rFonts w:hint="eastAsia" w:ascii="Times New Roman" w:hAnsi="Times New Roman"/>
          <w:szCs w:val="20"/>
        </w:rPr>
        <w:t>使用</w:t>
      </w:r>
      <w:r>
        <w:rPr>
          <w:rFonts w:hint="eastAsia"/>
        </w:rPr>
        <w:t>电感耦合等离子体发射光谱法</w:t>
      </w:r>
      <w:r>
        <w:rPr>
          <w:rFonts w:hint="eastAsia"/>
          <w:lang w:eastAsia="zh-CN"/>
        </w:rPr>
        <w:t>（</w:t>
      </w:r>
      <w:r>
        <w:rPr>
          <w:rFonts w:hint="eastAsia" w:ascii="Times New Roman" w:hAnsi="Times New Roman"/>
          <w:szCs w:val="20"/>
        </w:rPr>
        <w:t>ICP-OES</w:t>
      </w:r>
      <w:r>
        <w:rPr>
          <w:rFonts w:hint="eastAsia" w:ascii="Times New Roman" w:hAnsi="Times New Roman"/>
          <w:szCs w:val="20"/>
          <w:lang w:val="en-US" w:eastAsia="zh-CN"/>
        </w:rPr>
        <w:t>法</w:t>
      </w:r>
      <w:r>
        <w:rPr>
          <w:rFonts w:hint="eastAsia"/>
          <w:lang w:eastAsia="zh-CN"/>
        </w:rPr>
        <w:t>）</w:t>
      </w:r>
      <w:r>
        <w:rPr>
          <w:rFonts w:hint="eastAsia" w:ascii="Times New Roman" w:hAnsi="Times New Roman"/>
          <w:szCs w:val="20"/>
        </w:rPr>
        <w:t>测定</w:t>
      </w:r>
      <w:r>
        <w:rPr>
          <w:rFonts w:hint="eastAsia" w:ascii="Times New Roman" w:hAnsi="Times New Roman"/>
          <w:szCs w:val="20"/>
          <w:lang w:val="en-US" w:eastAsia="zh-CN"/>
        </w:rPr>
        <w:t>钠</w:t>
      </w:r>
      <w:r>
        <w:rPr>
          <w:rFonts w:hint="eastAsia" w:ascii="Times New Roman" w:hAnsi="Times New Roman"/>
          <w:szCs w:val="20"/>
        </w:rPr>
        <w:t>元素含量</w:t>
      </w:r>
      <w:r>
        <w:rPr>
          <w:rFonts w:hint="eastAsia" w:ascii="Times New Roman" w:hAnsi="Times New Roman"/>
          <w:szCs w:val="20"/>
          <w:lang w:val="en-US" w:eastAsia="zh-CN"/>
        </w:rPr>
        <w:t>、铜铁锰</w:t>
      </w:r>
      <w:r>
        <w:rPr>
          <w:rFonts w:hint="eastAsia" w:ascii="Times New Roman" w:hAnsi="Times New Roman"/>
          <w:szCs w:val="20"/>
        </w:rPr>
        <w:t>合量</w:t>
      </w:r>
      <w:r>
        <w:rPr>
          <w:rFonts w:hint="eastAsia" w:ascii="Times New Roman" w:hAnsi="Times New Roman"/>
          <w:szCs w:val="20"/>
          <w:lang w:val="en-US" w:eastAsia="zh-CN"/>
        </w:rPr>
        <w:t>和</w:t>
      </w:r>
      <w:r>
        <w:rPr>
          <w:rFonts w:hint="eastAsia" w:ascii="Times New Roman" w:hAnsi="Times New Roman"/>
          <w:szCs w:val="28"/>
          <w:lang w:val="en-US" w:eastAsia="zh-CN"/>
        </w:rPr>
        <w:t>镉（Cd）、铬（Cr）、铅（Pb）、硅（Si）</w:t>
      </w:r>
      <w:r>
        <w:rPr>
          <w:rFonts w:hint="eastAsia"/>
          <w:szCs w:val="28"/>
          <w:lang w:val="en-US" w:eastAsia="zh-CN"/>
        </w:rPr>
        <w:t>、</w:t>
      </w:r>
      <w:r>
        <w:rPr>
          <w:rFonts w:hint="eastAsia" w:ascii="Times New Roman" w:hAnsi="Times New Roman"/>
          <w:szCs w:val="28"/>
          <w:lang w:val="en-US" w:eastAsia="zh-CN"/>
        </w:rPr>
        <w:t>钙（Ca）、镁（Mg）、锌（Zn）、硫（S）含量</w:t>
      </w:r>
      <w:r>
        <w:rPr>
          <w:rFonts w:hint="eastAsia" w:ascii="Times New Roman" w:hAnsi="Times New Roman"/>
          <w:szCs w:val="20"/>
          <w:lang w:eastAsia="zh-CN"/>
        </w:rPr>
        <w:t>。</w:t>
      </w:r>
    </w:p>
    <w:p>
      <w:pPr>
        <w:keepNext w:val="0"/>
        <w:keepLines w:val="0"/>
        <w:pageBreakBefore w:val="0"/>
        <w:kinsoku/>
        <w:wordWrap/>
        <w:overflowPunct/>
        <w:topLinePunct w:val="0"/>
        <w:bidi w:val="0"/>
        <w:adjustRightInd/>
        <w:spacing w:before="156" w:beforeLines="50" w:after="156" w:afterLines="50" w:line="360" w:lineRule="exact"/>
        <w:outlineLvl w:val="1"/>
        <w:rPr>
          <w:rFonts w:hint="eastAsia" w:ascii="黑体" w:hAnsi="黑体" w:eastAsia="黑体" w:cs="黑体"/>
          <w:szCs w:val="21"/>
          <w:lang w:eastAsia="zh-CN"/>
        </w:rPr>
      </w:pPr>
      <w:r>
        <w:rPr>
          <w:rFonts w:hint="eastAsia" w:ascii="黑体" w:hAnsi="黑体" w:eastAsia="黑体" w:cs="黑体"/>
          <w:szCs w:val="21"/>
          <w:lang w:eastAsia="zh-CN"/>
        </w:rPr>
        <w:t>4</w:t>
      </w:r>
      <w:r>
        <w:rPr>
          <w:rFonts w:hint="eastAsia" w:ascii="黑体" w:hAnsi="黑体" w:eastAsia="黑体" w:cs="黑体"/>
          <w:szCs w:val="21"/>
        </w:rPr>
        <w:t xml:space="preserve">.2 </w:t>
      </w:r>
      <w:r>
        <w:rPr>
          <w:rFonts w:hint="eastAsia" w:ascii="黑体" w:hAnsi="黑体" w:eastAsia="黑体" w:cs="黑体"/>
          <w:szCs w:val="21"/>
          <w:lang w:val="en-US" w:eastAsia="zh-CN"/>
        </w:rPr>
        <w:t xml:space="preserve"> </w:t>
      </w:r>
      <w:r>
        <w:rPr>
          <w:rFonts w:hint="eastAsia" w:ascii="黑体" w:hAnsi="黑体" w:eastAsia="黑体" w:cs="黑体"/>
          <w:szCs w:val="21"/>
        </w:rPr>
        <w:t>外观</w:t>
      </w:r>
      <w:r>
        <w:rPr>
          <w:rFonts w:hint="eastAsia" w:ascii="黑体" w:hAnsi="黑体" w:eastAsia="黑体" w:cs="黑体"/>
          <w:szCs w:val="21"/>
          <w:lang w:val="en-US" w:eastAsia="zh-CN"/>
        </w:rPr>
        <w:t>检验</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szCs w:val="20"/>
        </w:rPr>
      </w:pPr>
      <w:r>
        <w:rPr>
          <w:rFonts w:hint="eastAsia" w:ascii="Times New Roman" w:hAnsi="Times New Roman"/>
          <w:szCs w:val="20"/>
        </w:rPr>
        <w:t>产品外观在自然光下采用目视法检验。</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rPr>
        <w:t xml:space="preserve">.3 </w:t>
      </w:r>
      <w:r>
        <w:rPr>
          <w:rFonts w:hint="eastAsia" w:ascii="黑体" w:hAnsi="黑体" w:eastAsia="黑体" w:cs="黑体"/>
          <w:szCs w:val="21"/>
          <w:lang w:val="en-US" w:eastAsia="zh-CN"/>
        </w:rPr>
        <w:t xml:space="preserve"> </w:t>
      </w:r>
      <w:r>
        <w:rPr>
          <w:rFonts w:hint="eastAsia" w:ascii="黑体" w:hAnsi="黑体" w:eastAsia="黑体" w:cs="黑体"/>
          <w:szCs w:val="21"/>
        </w:rPr>
        <w:t>水分</w:t>
      </w:r>
      <w:r>
        <w:rPr>
          <w:rFonts w:hint="eastAsia" w:ascii="黑体" w:hAnsi="黑体" w:eastAsia="黑体" w:cs="黑体"/>
          <w:szCs w:val="21"/>
          <w:lang w:val="en-US" w:eastAsia="zh-CN"/>
        </w:rPr>
        <w:t>的测定</w:t>
      </w:r>
    </w:p>
    <w:p>
      <w:pPr>
        <w:pStyle w:val="2"/>
        <w:keepNext w:val="0"/>
        <w:keepLines w:val="0"/>
        <w:pageBreakBefore w:val="0"/>
        <w:kinsoku/>
        <w:wordWrap/>
        <w:overflowPunct/>
        <w:topLinePunct w:val="0"/>
        <w:bidi w:val="0"/>
        <w:adjustRightInd/>
        <w:spacing w:line="360" w:lineRule="exact"/>
        <w:ind w:firstLine="420" w:firstLineChars="200"/>
        <w:rPr>
          <w:rFonts w:ascii="Times New Roman" w:hAnsi="Times New Roman"/>
          <w:szCs w:val="20"/>
        </w:rPr>
      </w:pPr>
      <w:r>
        <w:rPr>
          <w:rFonts w:ascii="Times New Roman" w:hAnsi="Times New Roman"/>
          <w:szCs w:val="20"/>
        </w:rPr>
        <w:t>化工产品中水分含量的测定常采用GB/T 6283</w:t>
      </w:r>
      <w:r>
        <w:rPr>
          <w:rFonts w:hint="eastAsia" w:ascii="Times New Roman" w:hAnsi="Times New Roman"/>
          <w:szCs w:val="20"/>
        </w:rPr>
        <w:t>《</w:t>
      </w:r>
      <w:r>
        <w:rPr>
          <w:rFonts w:ascii="Times New Roman" w:hAnsi="Times New Roman"/>
          <w:szCs w:val="20"/>
        </w:rPr>
        <w:t>化工产品中水分含量的测定 卡尔•费休法（通用方法）</w:t>
      </w:r>
      <w:r>
        <w:rPr>
          <w:rFonts w:hint="eastAsia" w:ascii="Times New Roman" w:hAnsi="Times New Roman"/>
          <w:szCs w:val="20"/>
        </w:rPr>
        <w:t>》</w:t>
      </w:r>
      <w:r>
        <w:rPr>
          <w:rFonts w:ascii="Times New Roman" w:hAnsi="Times New Roman"/>
          <w:szCs w:val="20"/>
        </w:rPr>
        <w:t>和GB/T 6284</w:t>
      </w:r>
      <w:r>
        <w:rPr>
          <w:rFonts w:hint="eastAsia" w:ascii="Times New Roman" w:hAnsi="Times New Roman"/>
          <w:szCs w:val="20"/>
        </w:rPr>
        <w:t>《</w:t>
      </w:r>
      <w:r>
        <w:rPr>
          <w:rFonts w:ascii="Times New Roman" w:hAnsi="Times New Roman"/>
          <w:szCs w:val="20"/>
        </w:rPr>
        <w:t>化工产品中水分测定的通用方法 干燥减量法</w:t>
      </w:r>
      <w:r>
        <w:rPr>
          <w:rFonts w:hint="eastAsia" w:ascii="Times New Roman" w:hAnsi="Times New Roman"/>
          <w:szCs w:val="20"/>
        </w:rPr>
        <w:t>》</w:t>
      </w:r>
      <w:r>
        <w:rPr>
          <w:rFonts w:ascii="Times New Roman" w:hAnsi="Times New Roman"/>
          <w:szCs w:val="20"/>
        </w:rPr>
        <w:t>。干燥减量法对设备要求较低，但是误差较大，水分含量较高的样品宜采用此方法。卡尔•费休法比干燥减量法精度更高、误差小，更适用水分含量较低的样品中水分含量的测定。本文件中规定水分含量应不大于0.</w:t>
      </w:r>
      <w:r>
        <w:rPr>
          <w:rFonts w:hint="eastAsia" w:ascii="Times New Roman" w:hAnsi="Times New Roman"/>
          <w:szCs w:val="20"/>
          <w:lang w:val="en-US" w:eastAsia="zh-CN"/>
        </w:rPr>
        <w:t>2</w:t>
      </w:r>
      <w:r>
        <w:rPr>
          <w:rFonts w:ascii="Times New Roman" w:hAnsi="Times New Roman"/>
          <w:szCs w:val="20"/>
        </w:rPr>
        <w:t xml:space="preserve"> %，所以</w:t>
      </w:r>
      <w:r>
        <w:rPr>
          <w:rFonts w:hint="eastAsia" w:ascii="Times New Roman" w:hAnsi="Times New Roman"/>
          <w:szCs w:val="20"/>
          <w:lang w:val="en-US" w:eastAsia="zh-CN"/>
        </w:rPr>
        <w:t>确定用</w:t>
      </w:r>
      <w:r>
        <w:rPr>
          <w:rFonts w:ascii="Times New Roman" w:hAnsi="Times New Roman"/>
          <w:szCs w:val="20"/>
        </w:rPr>
        <w:t>卡尔•费休法</w:t>
      </w:r>
      <w:r>
        <w:rPr>
          <w:rFonts w:hint="eastAsia" w:ascii="Times New Roman" w:hAnsi="Times New Roman"/>
          <w:szCs w:val="20"/>
          <w:lang w:val="en-US" w:eastAsia="zh-CN"/>
        </w:rPr>
        <w:t>进行测定</w:t>
      </w:r>
      <w:r>
        <w:rPr>
          <w:rFonts w:ascii="Times New Roman" w:hAnsi="Times New Roman"/>
          <w:szCs w:val="20"/>
        </w:rPr>
        <w:t>。</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highlight w:val="none"/>
          <w:lang w:val="en-US" w:eastAsia="zh-CN"/>
        </w:rPr>
      </w:pPr>
      <w:r>
        <w:rPr>
          <w:rFonts w:hint="eastAsia" w:ascii="黑体" w:hAnsi="黑体" w:eastAsia="黑体" w:cs="黑体"/>
          <w:szCs w:val="21"/>
          <w:highlight w:val="none"/>
          <w:lang w:eastAsia="zh-CN"/>
        </w:rPr>
        <w:t>4</w:t>
      </w:r>
      <w:r>
        <w:rPr>
          <w:rFonts w:hint="eastAsia" w:ascii="黑体" w:hAnsi="黑体" w:eastAsia="黑体" w:cs="黑体"/>
          <w:szCs w:val="21"/>
          <w:highlight w:val="none"/>
        </w:rPr>
        <w:t xml:space="preserve">.4 </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残余钠含量</w:t>
      </w:r>
      <w:r>
        <w:rPr>
          <w:rFonts w:hint="eastAsia" w:ascii="黑体" w:hAnsi="黑体" w:eastAsia="黑体" w:cs="黑体"/>
          <w:szCs w:val="21"/>
          <w:highlight w:val="none"/>
          <w:lang w:val="en-US" w:eastAsia="zh-CN"/>
        </w:rPr>
        <w:t>的测定</w:t>
      </w:r>
    </w:p>
    <w:p>
      <w:pPr>
        <w:pStyle w:val="2"/>
        <w:keepNext w:val="0"/>
        <w:keepLines w:val="0"/>
        <w:pageBreakBefore w:val="0"/>
        <w:kinsoku/>
        <w:wordWrap/>
        <w:overflowPunct/>
        <w:topLinePunct w:val="0"/>
        <w:bidi w:val="0"/>
        <w:adjustRightInd/>
        <w:spacing w:line="360" w:lineRule="exact"/>
        <w:ind w:firstLine="420" w:firstLineChars="200"/>
        <w:rPr>
          <w:rFonts w:hint="eastAsia"/>
          <w:szCs w:val="28"/>
          <w:lang w:val="en-US" w:eastAsia="zh-CN"/>
        </w:rPr>
      </w:pPr>
      <w:r>
        <w:rPr>
          <w:rFonts w:hint="eastAsia"/>
        </w:rPr>
        <w:t>钠离子电池中残余钠和锂离子电池中残余锂都是大都以碳酸盐形式存在，具有相同的阴离子，而目前</w:t>
      </w:r>
      <w:r>
        <w:t>GB/T 41704</w:t>
      </w:r>
      <w:r>
        <w:rPr>
          <w:rFonts w:hint="eastAsia"/>
        </w:rPr>
        <w:t>中对于残余锂含量的测定采用的是电位滴定法，通过碳酸根含量折算残余锂含量，目前存在水和乙醇两种溶剂体系的测试方案，测试结果可差10倍以上。根据调研结果显示，行业</w:t>
      </w:r>
      <w:r>
        <w:rPr>
          <w:rFonts w:hint="eastAsia"/>
          <w:lang w:val="en-US" w:eastAsia="zh-CN"/>
        </w:rPr>
        <w:t>普遍认为纯</w:t>
      </w:r>
      <w:r>
        <w:rPr>
          <w:rFonts w:hint="eastAsia"/>
        </w:rPr>
        <w:t>体系</w:t>
      </w:r>
      <w:r>
        <w:rPr>
          <w:rFonts w:hint="eastAsia"/>
          <w:lang w:val="en-US" w:eastAsia="zh-CN"/>
        </w:rPr>
        <w:t>的检测结果更加科学合理</w:t>
      </w:r>
      <w:r>
        <w:rPr>
          <w:rFonts w:hint="eastAsia"/>
        </w:rPr>
        <w:t>。因此本标准的残余钠含量</w:t>
      </w:r>
      <w:r>
        <w:rPr>
          <w:rFonts w:hint="eastAsia" w:ascii="Times New Roman"/>
        </w:rPr>
        <w:t>参照</w:t>
      </w:r>
      <w:r>
        <w:rPr>
          <w:rFonts w:ascii="Times New Roman"/>
        </w:rPr>
        <w:t>GB/T 41704</w:t>
      </w:r>
      <w:r>
        <w:rPr>
          <w:rFonts w:hint="eastAsia" w:ascii="Times New Roman"/>
          <w:lang w:val="en-US" w:eastAsia="zh-CN"/>
        </w:rPr>
        <w:t>中</w:t>
      </w:r>
      <w:r>
        <w:rPr>
          <w:rFonts w:hint="eastAsia" w:ascii="Times New Roman"/>
        </w:rPr>
        <w:t>的</w:t>
      </w:r>
      <w:r>
        <w:rPr>
          <w:rFonts w:hint="eastAsia" w:ascii="Times New Roman"/>
          <w:lang w:val="en-US" w:eastAsia="zh-CN"/>
        </w:rPr>
        <w:t>第5章“残余碱含量的测定”</w:t>
      </w:r>
      <w:r>
        <w:rPr>
          <w:rFonts w:hint="eastAsia"/>
          <w:szCs w:val="28"/>
          <w:lang w:val="en-US" w:eastAsia="zh-CN"/>
        </w:rPr>
        <w:t>。</w:t>
      </w:r>
    </w:p>
    <w:p>
      <w:pPr>
        <w:pStyle w:val="2"/>
        <w:keepNext w:val="0"/>
        <w:keepLines w:val="0"/>
        <w:pageBreakBefore w:val="0"/>
        <w:kinsoku/>
        <w:wordWrap/>
        <w:overflowPunct/>
        <w:topLinePunct w:val="0"/>
        <w:bidi w:val="0"/>
        <w:adjustRightInd/>
        <w:spacing w:line="360" w:lineRule="exact"/>
        <w:ind w:firstLine="420" w:firstLineChars="200"/>
        <w:rPr>
          <w:rFonts w:hint="default" w:ascii="Times New Roman"/>
          <w:lang w:val="en-US" w:eastAsia="zh-CN"/>
        </w:rPr>
      </w:pPr>
      <w:r>
        <w:rPr>
          <w:rFonts w:hint="eastAsia" w:ascii="Times New Roman" w:hAnsi="Times New Roman"/>
          <w:lang w:val="en-US" w:eastAsia="zh-CN"/>
        </w:rPr>
        <w:t>制定过程中企业反馈</w:t>
      </w:r>
      <w:r>
        <w:rPr>
          <w:rFonts w:hint="eastAsia" w:ascii="Times New Roman"/>
          <w:lang w:val="en-US" w:eastAsia="zh-CN"/>
        </w:rPr>
        <w:t>由于铜铁锰酸钠对水稳定性差，材料浸泡水中，材料中的钠（Na）被水中质子不断交换，导致最终测定氢氧化钠值非材料表面残余氢氧化钠。经2025年3月工作组会议讨论</w:t>
      </w:r>
      <w:r>
        <w:rPr>
          <w:rFonts w:hint="eastAsia" w:ascii="Times New Roman" w:hAnsi="Times New Roman"/>
          <w:lang w:val="en-US" w:eastAsia="zh-CN"/>
        </w:rPr>
        <w:t>确定</w:t>
      </w:r>
      <w:bookmarkStart w:id="2" w:name="OLE_LINK4"/>
      <w:r>
        <w:rPr>
          <w:rFonts w:hint="eastAsia" w:ascii="Times New Roman" w:hAnsi="Times New Roman"/>
        </w:rPr>
        <w:t>用无水乙醇</w:t>
      </w:r>
      <w:r>
        <w:rPr>
          <w:rFonts w:hint="eastAsia" w:ascii="Times New Roman" w:hAnsi="Times New Roman"/>
          <w:lang w:val="en-US" w:eastAsia="zh-CN"/>
        </w:rPr>
        <w:t>作为溶剂</w:t>
      </w:r>
      <w:r>
        <w:rPr>
          <w:rFonts w:hint="eastAsia" w:ascii="Times New Roman" w:hAnsi="Times New Roman"/>
        </w:rPr>
        <w:t>将试样表面的残余碱溶解，过滤后，使用电位滴定仪，用盐酸标准滴定溶液对滤液进行滴定，以二级微商法确定滴定终点。</w:t>
      </w:r>
      <w:bookmarkEnd w:id="2"/>
      <w:r>
        <w:rPr>
          <w:rFonts w:hint="eastAsia" w:ascii="Times New Roman" w:hAnsi="Times New Roman"/>
        </w:rPr>
        <w:t>会后有企业提出碳酸钠在无水乙醇中微溶，导致碳酸钠测定结果偏低</w:t>
      </w:r>
      <w:r>
        <w:rPr>
          <w:rFonts w:hint="eastAsia" w:ascii="Times New Roman" w:hAnsi="Times New Roman"/>
          <w:lang w:eastAsia="zh-CN"/>
        </w:rPr>
        <w:t>，</w:t>
      </w:r>
      <w:r>
        <w:rPr>
          <w:rFonts w:hint="eastAsia" w:ascii="Times New Roman"/>
          <w:lang w:val="en-US" w:eastAsia="zh-CN"/>
        </w:rPr>
        <w:t>因此其后修改为测定残余碳酸钠时使用水体系。目前方法正在进一步验证中。</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rPr>
        <w:t xml:space="preserve">.5 </w:t>
      </w:r>
      <w:r>
        <w:rPr>
          <w:rFonts w:hint="eastAsia" w:ascii="黑体" w:hAnsi="黑体" w:eastAsia="黑体" w:cs="黑体"/>
          <w:szCs w:val="21"/>
          <w:lang w:val="en-US" w:eastAsia="zh-CN"/>
        </w:rPr>
        <w:t xml:space="preserve"> </w:t>
      </w:r>
      <w:r>
        <w:rPr>
          <w:rFonts w:hint="eastAsia" w:ascii="黑体" w:hAnsi="黑体" w:eastAsia="黑体" w:cs="黑体"/>
          <w:szCs w:val="21"/>
          <w:highlight w:val="none"/>
        </w:rPr>
        <w:t>磁性异物</w:t>
      </w:r>
      <w:r>
        <w:rPr>
          <w:rFonts w:hint="eastAsia" w:ascii="黑体" w:hAnsi="黑体" w:eastAsia="黑体" w:cs="黑体"/>
          <w:szCs w:val="21"/>
          <w:highlight w:val="none"/>
          <w:lang w:val="en-US" w:eastAsia="zh-CN"/>
        </w:rPr>
        <w:t>的测定</w:t>
      </w:r>
    </w:p>
    <w:p>
      <w:pPr>
        <w:pStyle w:val="2"/>
        <w:keepNext w:val="0"/>
        <w:keepLines w:val="0"/>
        <w:pageBreakBefore w:val="0"/>
        <w:kinsoku/>
        <w:wordWrap/>
        <w:overflowPunct/>
        <w:topLinePunct w:val="0"/>
        <w:bidi w:val="0"/>
        <w:adjustRightInd/>
        <w:spacing w:line="360" w:lineRule="exact"/>
        <w:ind w:firstLine="420" w:firstLineChars="200"/>
        <w:rPr>
          <w:rFonts w:hint="default" w:ascii="Times New Roman" w:hAnsi="Times New Roman" w:eastAsia="宋体"/>
          <w:highlight w:val="none"/>
          <w:lang w:val="en-US" w:eastAsia="zh-CN"/>
        </w:rPr>
      </w:pPr>
      <w:r>
        <w:rPr>
          <w:rFonts w:hint="eastAsia"/>
          <w:highlight w:val="none"/>
        </w:rPr>
        <w:t>目前行业内</w:t>
      </w:r>
      <w:r>
        <w:rPr>
          <w:rFonts w:hint="eastAsia"/>
          <w:highlight w:val="none"/>
          <w:lang w:val="en-US" w:eastAsia="zh-CN"/>
        </w:rPr>
        <w:t>较为通用测定磁性异物的标准为</w:t>
      </w:r>
      <w:r>
        <w:rPr>
          <w:rFonts w:hint="eastAsia"/>
          <w:highlight w:val="none"/>
        </w:rPr>
        <w:t>GB</w:t>
      </w:r>
      <w:r>
        <w:rPr>
          <w:rFonts w:hint="eastAsia"/>
          <w:highlight w:val="none"/>
          <w:lang w:val="en-US" w:eastAsia="zh-CN"/>
        </w:rPr>
        <w:t>/</w:t>
      </w:r>
      <w:r>
        <w:rPr>
          <w:rFonts w:hint="eastAsia"/>
          <w:highlight w:val="none"/>
        </w:rPr>
        <w:t>T 41704-2022</w:t>
      </w:r>
      <w:r>
        <w:rPr>
          <w:rFonts w:hint="eastAsia"/>
          <w:highlight w:val="none"/>
          <w:lang w:eastAsia="zh-CN"/>
        </w:rPr>
        <w:t>《</w:t>
      </w:r>
      <w:r>
        <w:rPr>
          <w:rFonts w:hint="eastAsia"/>
          <w:highlight w:val="none"/>
        </w:rPr>
        <w:t>锂离子电池正极材料检测方法 磁性异物含量和残余碱含量的测定</w:t>
      </w:r>
      <w:r>
        <w:rPr>
          <w:rFonts w:hint="eastAsia"/>
          <w:highlight w:val="none"/>
          <w:lang w:eastAsia="zh-CN"/>
        </w:rPr>
        <w:t>》，</w:t>
      </w:r>
      <w:r>
        <w:rPr>
          <w:rFonts w:hint="eastAsia"/>
          <w:highlight w:val="none"/>
          <w:lang w:val="en-US" w:eastAsia="zh-CN"/>
        </w:rPr>
        <w:t>该方法是</w:t>
      </w:r>
      <w:r>
        <w:rPr>
          <w:rFonts w:hint="eastAsia"/>
        </w:rPr>
        <w:t>在不含磁性杂质的洁净环境中，用磁棒吸附并富集正极材料中磁性异物，用水清洗富集后的磁棒，</w:t>
      </w:r>
      <w:r>
        <w:rPr>
          <w:rFonts w:hint="eastAsia"/>
          <w:lang w:val="en-US" w:eastAsia="zh-CN"/>
        </w:rPr>
        <w:t>除</w:t>
      </w:r>
      <w:r>
        <w:rPr>
          <w:rFonts w:hint="eastAsia"/>
        </w:rPr>
        <w:t>去表面附着的试样，用酸溶解磁棒上的磁性异物，使用电感耦合等离子体发射光谱仪，采用标准曲线法对磁性异物进行定量。</w:t>
      </w:r>
      <w:r>
        <w:rPr>
          <w:rFonts w:hint="eastAsia"/>
          <w:highlight w:val="none"/>
          <w:lang w:val="en-US" w:eastAsia="zh-CN"/>
        </w:rPr>
        <w:t>本标准参考该标准并根据铜铁锰酸钠自身所含元素的特性进行了方法的优化，磁性异物为铁、镍、锌和铬，因本产品主体元素中包括了铁，因此在计算时扣减了产品带入的铁量。</w:t>
      </w:r>
    </w:p>
    <w:p>
      <w:pPr>
        <w:keepNext w:val="0"/>
        <w:keepLines w:val="0"/>
        <w:pageBreakBefore w:val="0"/>
        <w:kinsoku/>
        <w:wordWrap/>
        <w:overflowPunct/>
        <w:topLinePunct w:val="0"/>
        <w:bidi w:val="0"/>
        <w:adjustRightInd/>
        <w:spacing w:before="156" w:beforeLines="50" w:after="156" w:afterLines="50" w:line="360" w:lineRule="exac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lang w:val="en-US" w:eastAsia="zh-CN"/>
        </w:rPr>
        <w:t>.6</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ascii="黑体" w:hAnsi="黑体" w:eastAsia="黑体" w:cs="黑体"/>
          <w:szCs w:val="21"/>
        </w:rPr>
        <w:t>pH</w:t>
      </w:r>
      <w:r>
        <w:rPr>
          <w:rFonts w:hint="eastAsia" w:ascii="黑体" w:hAnsi="黑体" w:eastAsia="黑体" w:cs="黑体"/>
          <w:szCs w:val="21"/>
          <w:lang w:val="en-US" w:eastAsia="zh-CN"/>
        </w:rPr>
        <w:t>的测定</w:t>
      </w:r>
    </w:p>
    <w:p>
      <w:pPr>
        <w:pStyle w:val="2"/>
        <w:keepNext w:val="0"/>
        <w:keepLines w:val="0"/>
        <w:pageBreakBefore w:val="0"/>
        <w:kinsoku/>
        <w:wordWrap/>
        <w:overflowPunct/>
        <w:topLinePunct w:val="0"/>
        <w:bidi w:val="0"/>
        <w:adjustRightInd/>
        <w:spacing w:line="360" w:lineRule="exact"/>
        <w:ind w:firstLine="420" w:firstLineChars="200"/>
        <w:rPr>
          <w:rFonts w:hint="eastAsia"/>
          <w:highlight w:val="none"/>
        </w:rPr>
      </w:pPr>
      <w:r>
        <w:rPr>
          <w:rFonts w:hint="eastAsia"/>
        </w:rPr>
        <w:t>常规的</w:t>
      </w:r>
      <w:r>
        <w:rPr>
          <w:rFonts w:hint="default" w:ascii="Times New Roman" w:hAnsi="Times New Roman"/>
        </w:rPr>
        <w:t>正极材料pH测试均是使</w:t>
      </w:r>
      <w:r>
        <w:rPr>
          <w:rFonts w:hint="default" w:ascii="Times New Roman" w:hAnsi="Times New Roman"/>
          <w:highlight w:val="none"/>
        </w:rPr>
        <w:t>用水做溶剂，由于</w:t>
      </w:r>
      <w:r>
        <w:rPr>
          <w:rFonts w:hint="default" w:ascii="Times New Roman" w:hAnsi="Times New Roman"/>
          <w:highlight w:val="none"/>
          <w:lang w:eastAsia="zh-CN"/>
        </w:rPr>
        <w:t>铜铁锰酸钠</w:t>
      </w:r>
      <w:r>
        <w:rPr>
          <w:rFonts w:hint="default" w:ascii="Times New Roman" w:hAnsi="Times New Roman"/>
          <w:highlight w:val="none"/>
        </w:rPr>
        <w:t>在水中易析出碱性物质，导致pH偏高，因此实际测试过程中部分企业采用乙醇溶剂的测试方式，大部分企业仍以水为测试溶剂，且pH指标仅约束了最高值，而有机</w:t>
      </w:r>
      <w:r>
        <w:rPr>
          <w:rFonts w:hint="default" w:ascii="Times New Roman" w:hAnsi="Times New Roman"/>
        </w:rPr>
        <w:t>溶剂测试结果较水更低，不会与本文件内设定的指标发生冲突，因此本文件</w:t>
      </w:r>
      <w:r>
        <w:rPr>
          <w:rFonts w:hint="eastAsia"/>
        </w:rPr>
        <w:t>采用常规的水溶剂测试法，按照</w:t>
      </w:r>
      <w:r>
        <w:rPr>
          <w:rFonts w:ascii="Times New Roman" w:hAnsi="Times New Roman"/>
          <w:szCs w:val="20"/>
        </w:rPr>
        <w:t>GB/T 9724</w:t>
      </w:r>
      <w:r>
        <w:rPr>
          <w:rFonts w:hint="eastAsia" w:ascii="Times New Roman" w:hAnsi="Times New Roman"/>
          <w:szCs w:val="20"/>
        </w:rPr>
        <w:t>的规定进行测试。</w:t>
      </w:r>
    </w:p>
    <w:p>
      <w:pPr>
        <w:keepNext w:val="0"/>
        <w:keepLines w:val="0"/>
        <w:pageBreakBefore w:val="0"/>
        <w:kinsoku/>
        <w:wordWrap/>
        <w:overflowPunct/>
        <w:topLinePunct w:val="0"/>
        <w:bidi w:val="0"/>
        <w:adjustRightInd/>
        <w:spacing w:before="156" w:beforeLines="50" w:after="156" w:afterLines="50" w:line="360" w:lineRule="exact"/>
        <w:jc w:val="lef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lang w:val="en-US" w:eastAsia="zh-CN"/>
        </w:rPr>
        <w:t xml:space="preserve">.7 </w:t>
      </w:r>
      <w:r>
        <w:rPr>
          <w:rFonts w:hint="eastAsia" w:ascii="黑体" w:hAnsi="黑体" w:eastAsia="黑体" w:cs="黑体"/>
          <w:szCs w:val="21"/>
        </w:rPr>
        <w:t xml:space="preserve"> </w:t>
      </w:r>
      <w:r>
        <w:rPr>
          <w:rFonts w:ascii="黑体" w:hAnsi="黑体" w:eastAsia="黑体" w:cs="黑体"/>
          <w:szCs w:val="21"/>
        </w:rPr>
        <w:t>振实密度</w:t>
      </w:r>
      <w:r>
        <w:rPr>
          <w:rFonts w:hint="eastAsia" w:ascii="黑体" w:hAnsi="黑体" w:eastAsia="黑体" w:cs="黑体"/>
          <w:szCs w:val="21"/>
          <w:lang w:val="en-US" w:eastAsia="zh-CN"/>
        </w:rPr>
        <w:t>的测定</w:t>
      </w:r>
    </w:p>
    <w:p>
      <w:pPr>
        <w:pStyle w:val="2"/>
        <w:spacing w:line="400" w:lineRule="exact"/>
        <w:ind w:firstLine="420" w:firstLineChars="200"/>
        <w:rPr>
          <w:rFonts w:ascii="Times New Roman" w:hAnsi="Times New Roman"/>
          <w:szCs w:val="20"/>
        </w:rPr>
      </w:pPr>
      <w:r>
        <w:rPr>
          <w:rFonts w:ascii="Times New Roman" w:hAnsi="Times New Roman"/>
          <w:szCs w:val="20"/>
        </w:rPr>
        <w:t>产品振实密度的测定</w:t>
      </w:r>
      <w:r>
        <w:rPr>
          <w:rFonts w:hint="eastAsia" w:ascii="Times New Roman" w:hAnsi="Times New Roman"/>
          <w:szCs w:val="20"/>
          <w:lang w:val="en-US" w:eastAsia="zh-CN"/>
        </w:rPr>
        <w:t>采用</w:t>
      </w:r>
      <w:r>
        <w:rPr>
          <w:rFonts w:ascii="Times New Roman" w:hAnsi="Times New Roman"/>
          <w:szCs w:val="20"/>
        </w:rPr>
        <w:t>GB/T 5162</w:t>
      </w:r>
      <w:r>
        <w:rPr>
          <w:rFonts w:hint="default" w:ascii="Times New Roman" w:hAnsi="Times New Roman"/>
        </w:rPr>
        <w:t>《金属粉末 振实密度的测定》</w:t>
      </w:r>
      <w:r>
        <w:rPr>
          <w:rFonts w:ascii="Times New Roman" w:hAnsi="Times New Roman"/>
          <w:szCs w:val="20"/>
        </w:rPr>
        <w:t>的规定进行。</w:t>
      </w:r>
      <w:r>
        <w:rPr>
          <w:rFonts w:hint="eastAsia" w:ascii="Times New Roman" w:hAnsi="Times New Roman"/>
          <w:szCs w:val="20"/>
        </w:rPr>
        <w:t>即将一定质量的试样放在容器中，通过震动装置振动，直至试样的体积不再减少。用试样的质量除以振实后的体积得到振实密度。</w:t>
      </w:r>
    </w:p>
    <w:p>
      <w:pPr>
        <w:keepNext w:val="0"/>
        <w:keepLines w:val="0"/>
        <w:pageBreakBefore w:val="0"/>
        <w:kinsoku/>
        <w:wordWrap/>
        <w:overflowPunct/>
        <w:topLinePunct w:val="0"/>
        <w:bidi w:val="0"/>
        <w:adjustRightInd/>
        <w:spacing w:before="156" w:beforeLines="50" w:after="156" w:afterLines="50" w:line="360" w:lineRule="exact"/>
        <w:jc w:val="lef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lang w:val="en-US" w:eastAsia="zh-CN"/>
        </w:rPr>
        <w:t>.8</w:t>
      </w:r>
      <w:r>
        <w:rPr>
          <w:rFonts w:hint="eastAsia" w:ascii="黑体" w:hAnsi="黑体" w:eastAsia="黑体" w:cs="黑体"/>
          <w:szCs w:val="21"/>
        </w:rPr>
        <w:t xml:space="preserve"> </w:t>
      </w:r>
      <w:r>
        <w:rPr>
          <w:rFonts w:hint="eastAsia" w:ascii="黑体" w:hAnsi="黑体" w:eastAsia="黑体" w:cs="黑体"/>
          <w:szCs w:val="21"/>
          <w:lang w:val="en-US" w:eastAsia="zh-CN"/>
        </w:rPr>
        <w:t xml:space="preserve"> </w:t>
      </w:r>
      <w:r>
        <w:rPr>
          <w:rFonts w:ascii="黑体" w:hAnsi="黑体" w:eastAsia="黑体" w:cs="黑体"/>
          <w:szCs w:val="21"/>
        </w:rPr>
        <w:t>粒度分布</w:t>
      </w:r>
      <w:r>
        <w:rPr>
          <w:rFonts w:hint="eastAsia" w:ascii="黑体" w:hAnsi="黑体" w:eastAsia="黑体" w:cs="黑体"/>
          <w:szCs w:val="21"/>
          <w:lang w:val="en-US" w:eastAsia="zh-CN"/>
        </w:rPr>
        <w:t>的测定</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ascii="Times New Roman" w:hAnsi="Times New Roman"/>
          <w:szCs w:val="20"/>
        </w:rPr>
      </w:pPr>
      <w:r>
        <w:rPr>
          <w:rFonts w:ascii="Times New Roman" w:hAnsi="Times New Roman"/>
          <w:szCs w:val="20"/>
        </w:rPr>
        <w:t>产品粒度分布的测定</w:t>
      </w:r>
      <w:r>
        <w:rPr>
          <w:rFonts w:hint="eastAsia" w:ascii="Times New Roman" w:hAnsi="Times New Roman"/>
          <w:szCs w:val="20"/>
          <w:lang w:val="en-US" w:eastAsia="zh-CN"/>
        </w:rPr>
        <w:t>采用</w:t>
      </w:r>
      <w:r>
        <w:rPr>
          <w:rFonts w:ascii="Times New Roman" w:hAnsi="Times New Roman"/>
          <w:szCs w:val="20"/>
        </w:rPr>
        <w:t>GB/T 19077</w:t>
      </w:r>
      <w:r>
        <w:rPr>
          <w:rFonts w:hint="default" w:ascii="Times New Roman" w:hAnsi="Times New Roman"/>
        </w:rPr>
        <w:t>《粒度分析 激光衍射法》</w:t>
      </w:r>
      <w:r>
        <w:rPr>
          <w:rFonts w:ascii="Times New Roman" w:hAnsi="Times New Roman"/>
          <w:szCs w:val="20"/>
        </w:rPr>
        <w:t>的规定进行。</w:t>
      </w:r>
      <w:r>
        <w:rPr>
          <w:rFonts w:hint="eastAsia"/>
        </w:rPr>
        <w:t>试样以合适的浓度分散于适宜的液体中,使其通过激光，光遇到颗粒后以不同角度散射,由多元探测器测量散射光，通过适当的光学模型和数学过程,得到一系列离散的粒径段上的颗粒体积相对于颗粒总体积的百分比，从而得出颗粒粒度体积分布。</w:t>
      </w:r>
    </w:p>
    <w:p>
      <w:pPr>
        <w:keepNext w:val="0"/>
        <w:keepLines w:val="0"/>
        <w:pageBreakBefore w:val="0"/>
        <w:kinsoku/>
        <w:wordWrap/>
        <w:overflowPunct/>
        <w:topLinePunct w:val="0"/>
        <w:bidi w:val="0"/>
        <w:adjustRightInd/>
        <w:spacing w:before="156" w:beforeLines="50" w:after="156" w:afterLines="50" w:line="360" w:lineRule="exact"/>
        <w:jc w:val="lef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lang w:val="en-US" w:eastAsia="zh-CN"/>
        </w:rPr>
        <w:t xml:space="preserve">.9  </w:t>
      </w:r>
      <w:r>
        <w:rPr>
          <w:rFonts w:ascii="黑体" w:hAnsi="黑体" w:eastAsia="黑体" w:cs="黑体"/>
          <w:szCs w:val="21"/>
        </w:rPr>
        <w:t>比表面积</w:t>
      </w:r>
      <w:r>
        <w:rPr>
          <w:rFonts w:hint="eastAsia" w:ascii="黑体" w:hAnsi="黑体" w:eastAsia="黑体" w:cs="黑体"/>
          <w:szCs w:val="21"/>
          <w:lang w:val="en-US" w:eastAsia="zh-CN"/>
        </w:rPr>
        <w:t>的测定</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szCs w:val="20"/>
          <w:lang w:val="en-US" w:eastAsia="zh-CN"/>
        </w:rPr>
      </w:pPr>
      <w:r>
        <w:rPr>
          <w:rFonts w:ascii="Times New Roman" w:hAnsi="Times New Roman"/>
          <w:szCs w:val="20"/>
        </w:rPr>
        <w:t>产品比表面积的测定</w:t>
      </w:r>
      <w:r>
        <w:rPr>
          <w:rFonts w:hint="eastAsia" w:ascii="Times New Roman" w:hAnsi="Times New Roman"/>
          <w:szCs w:val="20"/>
          <w:lang w:val="en-US" w:eastAsia="zh-CN"/>
        </w:rPr>
        <w:t>采用</w:t>
      </w:r>
      <w:r>
        <w:rPr>
          <w:rFonts w:ascii="Times New Roman" w:hAnsi="Times New Roman"/>
          <w:szCs w:val="20"/>
        </w:rPr>
        <w:t>GB/T 19587</w:t>
      </w:r>
      <w:r>
        <w:rPr>
          <w:rFonts w:hint="default" w:ascii="Times New Roman" w:hAnsi="Times New Roman"/>
          <w:szCs w:val="20"/>
        </w:rPr>
        <w:t>《气体吸附BET法测定固态物质比表面积》</w:t>
      </w:r>
      <w:r>
        <w:rPr>
          <w:rFonts w:ascii="Times New Roman" w:hAnsi="Times New Roman"/>
          <w:szCs w:val="20"/>
        </w:rPr>
        <w:t>的规定进行。</w:t>
      </w:r>
      <w:r>
        <w:rPr>
          <w:rFonts w:hint="eastAsia" w:ascii="Times New Roman" w:hAnsi="Times New Roman"/>
          <w:szCs w:val="20"/>
          <w:lang w:val="en-US" w:eastAsia="zh-CN"/>
        </w:rPr>
        <w:t>其他</w:t>
      </w:r>
      <w:r>
        <w:rPr>
          <w:rFonts w:hint="default" w:ascii="Times New Roman" w:hAnsi="Times New Roman"/>
          <w:szCs w:val="20"/>
        </w:rPr>
        <w:t>正极材料产品标准中的</w:t>
      </w:r>
      <w:r>
        <w:rPr>
          <w:rFonts w:hint="eastAsia" w:ascii="Times New Roman" w:hAnsi="Times New Roman"/>
          <w:szCs w:val="20"/>
          <w:lang w:val="en-US" w:eastAsia="zh-CN"/>
        </w:rPr>
        <w:t>比表面积</w:t>
      </w:r>
      <w:r>
        <w:rPr>
          <w:rFonts w:hint="default" w:ascii="Times New Roman" w:hAnsi="Times New Roman"/>
          <w:szCs w:val="20"/>
        </w:rPr>
        <w:t>大都以通用方法进行测试，</w:t>
      </w:r>
      <w:r>
        <w:rPr>
          <w:rFonts w:hint="eastAsia" w:ascii="Times New Roman" w:hAnsi="Times New Roman"/>
          <w:szCs w:val="20"/>
        </w:rPr>
        <w:t>即放到气体体系中的样品，其物质表面</w:t>
      </w:r>
      <w:r>
        <w:rPr>
          <w:rFonts w:ascii="Times New Roman" w:hAnsi="Times New Roman"/>
          <w:szCs w:val="20"/>
        </w:rPr>
        <w:t>(</w:t>
      </w:r>
      <w:r>
        <w:rPr>
          <w:rFonts w:hint="eastAsia" w:ascii="Times New Roman" w:hAnsi="Times New Roman"/>
          <w:szCs w:val="20"/>
        </w:rPr>
        <w:t>颗粒外部和内部通孔的表面积</w:t>
      </w:r>
      <w:r>
        <w:rPr>
          <w:rFonts w:ascii="Times New Roman" w:hAnsi="Times New Roman"/>
          <w:szCs w:val="20"/>
        </w:rPr>
        <w:t>)</w:t>
      </w:r>
      <w:r>
        <w:rPr>
          <w:rFonts w:hint="eastAsia" w:ascii="Times New Roman" w:hAnsi="Times New Roman"/>
          <w:szCs w:val="20"/>
        </w:rPr>
        <w:t>在低温下将发生物理吸附。当吸附达到平衡时，测量平衡吸附压力和吸附的气体量，根据</w:t>
      </w:r>
      <w:r>
        <w:rPr>
          <w:rFonts w:ascii="Times New Roman" w:hAnsi="Times New Roman"/>
          <w:szCs w:val="20"/>
        </w:rPr>
        <w:t>BET</w:t>
      </w:r>
      <w:r>
        <w:rPr>
          <w:rFonts w:hint="eastAsia" w:ascii="Times New Roman" w:hAnsi="Times New Roman"/>
          <w:szCs w:val="20"/>
        </w:rPr>
        <w:t>方程式求出试样单分子层吸附量，从而计算出试样的比表面积。</w:t>
      </w:r>
    </w:p>
    <w:p>
      <w:pPr>
        <w:keepNext w:val="0"/>
        <w:keepLines w:val="0"/>
        <w:pageBreakBefore w:val="0"/>
        <w:kinsoku/>
        <w:wordWrap/>
        <w:overflowPunct/>
        <w:topLinePunct w:val="0"/>
        <w:bidi w:val="0"/>
        <w:adjustRightInd/>
        <w:spacing w:before="156" w:beforeLines="50" w:after="156" w:afterLines="50" w:line="360" w:lineRule="exact"/>
        <w:jc w:val="left"/>
        <w:outlineLvl w:val="1"/>
        <w:rPr>
          <w:rFonts w:hint="default" w:ascii="黑体" w:hAnsi="黑体" w:eastAsia="黑体" w:cs="黑体"/>
          <w:szCs w:val="21"/>
          <w:lang w:val="en-US" w:eastAsia="zh-CN"/>
        </w:rPr>
      </w:pPr>
      <w:r>
        <w:rPr>
          <w:rFonts w:hint="eastAsia" w:ascii="黑体" w:hAnsi="黑体" w:eastAsia="黑体" w:cs="黑体"/>
          <w:szCs w:val="21"/>
          <w:lang w:eastAsia="zh-CN"/>
        </w:rPr>
        <w:t>4</w:t>
      </w:r>
      <w:r>
        <w:rPr>
          <w:rFonts w:hint="eastAsia" w:ascii="黑体" w:hAnsi="黑体" w:eastAsia="黑体" w:cs="黑体"/>
          <w:szCs w:val="21"/>
        </w:rPr>
        <w:t>.</w:t>
      </w:r>
      <w:r>
        <w:rPr>
          <w:rFonts w:hint="eastAsia" w:ascii="黑体" w:hAnsi="黑体" w:eastAsia="黑体" w:cs="黑体"/>
          <w:szCs w:val="21"/>
          <w:lang w:val="en-US" w:eastAsia="zh-CN"/>
        </w:rPr>
        <w:t>10</w:t>
      </w:r>
      <w:r>
        <w:rPr>
          <w:rFonts w:hint="eastAsia" w:ascii="黑体" w:hAnsi="黑体" w:eastAsia="黑体" w:cs="黑体"/>
          <w:szCs w:val="21"/>
        </w:rPr>
        <w:t xml:space="preserve">  电化学性能</w:t>
      </w:r>
      <w:r>
        <w:rPr>
          <w:rFonts w:hint="eastAsia" w:ascii="黑体" w:hAnsi="黑体" w:eastAsia="黑体" w:cs="黑体"/>
          <w:szCs w:val="21"/>
          <w:lang w:val="en-US" w:eastAsia="zh-CN"/>
        </w:rPr>
        <w:t>的测定</w:t>
      </w:r>
    </w:p>
    <w:p>
      <w:pPr>
        <w:keepNext w:val="0"/>
        <w:keepLines w:val="0"/>
        <w:pageBreakBefore w:val="0"/>
        <w:widowControl/>
        <w:kinsoku/>
        <w:wordWrap/>
        <w:overflowPunct/>
        <w:topLinePunct w:val="0"/>
        <w:autoSpaceDE w:val="0"/>
        <w:autoSpaceDN w:val="0"/>
        <w:bidi w:val="0"/>
        <w:adjustRightInd/>
        <w:spacing w:line="360" w:lineRule="exact"/>
        <w:ind w:firstLine="420" w:firstLineChars="200"/>
        <w:rPr>
          <w:rFonts w:hint="eastAsia"/>
          <w:kern w:val="0"/>
          <w:lang w:bidi="ar"/>
        </w:rPr>
      </w:pPr>
      <w:r>
        <w:rPr>
          <w:rFonts w:hint="eastAsia" w:cs="宋体"/>
          <w:kern w:val="0"/>
          <w:lang w:bidi="ar"/>
        </w:rPr>
        <w:t>钠离子电池和锂离子电池电化学性能测试流程基本一致，都是制浆、涂片、干燥、电池装配和采用电池测试系统测试，只是电池装配过程中材料使用和电化学测试参数存在少许差异，因此本标准的电化学性能测试整体参照</w:t>
      </w:r>
      <w:r>
        <w:rPr>
          <w:kern w:val="0"/>
          <w:lang w:bidi="ar"/>
        </w:rPr>
        <w:t>GB/T 23365</w:t>
      </w:r>
      <w:r>
        <w:rPr>
          <w:rFonts w:hint="eastAsia"/>
          <w:kern w:val="0"/>
          <w:lang w:bidi="ar"/>
        </w:rPr>
        <w:t>《钴酸锂电化学性能测试方法 首次放电比容量及首次充放电效率测试方法》和 GB/T 23366《钴酸锂电化学性能测试方法 放电平台容量比率及循环寿命测试方法》进行改</w:t>
      </w:r>
      <w:r>
        <w:rPr>
          <w:rFonts w:hint="eastAsia"/>
          <w:kern w:val="0"/>
          <w:lang w:eastAsia="zh-CN" w:bidi="ar"/>
        </w:rPr>
        <w:t>写</w:t>
      </w:r>
      <w:r>
        <w:rPr>
          <w:rFonts w:hint="eastAsia"/>
          <w:kern w:val="0"/>
          <w:lang w:bidi="ar"/>
        </w:rPr>
        <w:t>。但是钠离子电池扣式电池对电极需要改成钠片，电解液也需要同步调整为六氟磷酸钠；由于钠离子半径大于锂离子，隔膜需要采用孔更大、离子传导率更好的玻璃纤维隔膜；电压范围按照</w:t>
      </w:r>
      <w:r>
        <w:rPr>
          <w:rFonts w:hint="eastAsia"/>
          <w:kern w:val="0"/>
          <w:lang w:eastAsia="zh-CN" w:bidi="ar"/>
        </w:rPr>
        <w:t>铜铁锰酸钠</w:t>
      </w:r>
      <w:r>
        <w:rPr>
          <w:rFonts w:hint="eastAsia"/>
          <w:kern w:val="0"/>
          <w:lang w:bidi="ar"/>
        </w:rPr>
        <w:t>的需求改为2</w:t>
      </w:r>
      <w:r>
        <w:rPr>
          <w:rFonts w:hint="eastAsia"/>
          <w:kern w:val="0"/>
          <w:lang w:val="en-US" w:eastAsia="zh-CN" w:bidi="ar"/>
        </w:rPr>
        <w:t>.0～</w:t>
      </w:r>
      <w:r>
        <w:rPr>
          <w:rFonts w:hint="eastAsia"/>
          <w:kern w:val="0"/>
          <w:lang w:bidi="ar"/>
        </w:rPr>
        <w:t>4</w:t>
      </w:r>
      <w:r>
        <w:rPr>
          <w:rFonts w:hint="eastAsia"/>
          <w:kern w:val="0"/>
          <w:lang w:val="en-US" w:eastAsia="zh-CN" w:bidi="ar"/>
        </w:rPr>
        <w:t>.0</w:t>
      </w:r>
      <w:r>
        <w:rPr>
          <w:rFonts w:hint="eastAsia"/>
          <w:kern w:val="0"/>
          <w:lang w:bidi="ar"/>
        </w:rPr>
        <w:t>V。</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5、检验规则</w:t>
      </w:r>
    </w:p>
    <w:p>
      <w:pPr>
        <w:keepNext w:val="0"/>
        <w:keepLines w:val="0"/>
        <w:pageBreakBefore w:val="0"/>
        <w:widowControl/>
        <w:kinsoku/>
        <w:wordWrap/>
        <w:overflowPunct/>
        <w:topLinePunct w:val="0"/>
        <w:bidi w:val="0"/>
        <w:adjustRightInd/>
        <w:spacing w:line="360" w:lineRule="exact"/>
        <w:ind w:firstLine="420" w:firstLineChars="200"/>
        <w:jc w:val="left"/>
        <w:outlineLvl w:val="2"/>
        <w:rPr>
          <w:rFonts w:hint="eastAsia" w:ascii="宋体" w:hAnsi="宋体" w:eastAsia="宋体" w:cs="宋体"/>
          <w:color w:val="auto"/>
          <w:highlight w:val="none"/>
        </w:rPr>
      </w:pPr>
      <w:r>
        <w:rPr>
          <w:rFonts w:hint="eastAsia" w:ascii="宋体" w:hAnsi="宋体"/>
        </w:rPr>
        <w:t>本标准采用</w:t>
      </w:r>
      <w:r>
        <w:rPr>
          <w:rFonts w:ascii="宋体" w:hAnsi="宋体"/>
          <w:kern w:val="0"/>
          <w:szCs w:val="21"/>
        </w:rPr>
        <w:t>型式检验和出厂检验</w:t>
      </w:r>
      <w:r>
        <w:rPr>
          <w:rFonts w:hint="eastAsia" w:ascii="宋体" w:hAnsi="宋体"/>
          <w:kern w:val="0"/>
          <w:szCs w:val="21"/>
        </w:rPr>
        <w:t>，</w:t>
      </w:r>
      <w:r>
        <w:rPr>
          <w:rFonts w:hint="eastAsia" w:ascii="宋体" w:hAnsi="宋体" w:eastAsia="宋体" w:cs="宋体"/>
          <w:color w:val="auto"/>
          <w:highlight w:val="none"/>
        </w:rPr>
        <w:t>第</w:t>
      </w:r>
      <w:r>
        <w:rPr>
          <w:rFonts w:ascii="Times New Roman" w:eastAsia="宋体"/>
          <w:color w:val="auto"/>
          <w:highlight w:val="none"/>
        </w:rPr>
        <w:t>5</w:t>
      </w:r>
      <w:r>
        <w:rPr>
          <w:rFonts w:hint="eastAsia" w:ascii="宋体" w:hAnsi="宋体" w:eastAsia="宋体" w:cs="宋体"/>
          <w:color w:val="auto"/>
          <w:highlight w:val="none"/>
        </w:rPr>
        <w:t>章规定的</w:t>
      </w:r>
      <w:r>
        <w:rPr>
          <w:rFonts w:hint="eastAsia" w:ascii="宋体" w:hAnsi="宋体" w:eastAsia="宋体" w:cs="宋体"/>
          <w:color w:val="auto"/>
          <w:highlight w:val="none"/>
          <w:lang w:val="en-US"/>
        </w:rPr>
        <w:t>外观和</w:t>
      </w:r>
      <w:r>
        <w:rPr>
          <w:rFonts w:hint="eastAsia" w:hAnsi="宋体" w:eastAsia="宋体"/>
          <w:color w:val="auto"/>
          <w:highlight w:val="none"/>
        </w:rPr>
        <w:t>所有</w:t>
      </w:r>
      <w:r>
        <w:rPr>
          <w:rFonts w:hint="eastAsia" w:hAnsi="宋体" w:eastAsia="宋体"/>
          <w:color w:val="auto"/>
          <w:highlight w:val="none"/>
          <w:lang w:val="en-US"/>
        </w:rPr>
        <w:t>理化</w:t>
      </w:r>
      <w:r>
        <w:rPr>
          <w:rFonts w:hint="eastAsia" w:hAnsi="宋体" w:eastAsia="宋体"/>
          <w:color w:val="auto"/>
          <w:highlight w:val="none"/>
        </w:rPr>
        <w:t>指标</w:t>
      </w:r>
      <w:r>
        <w:rPr>
          <w:rFonts w:hint="eastAsia" w:ascii="宋体" w:hAnsi="宋体" w:eastAsia="宋体" w:cs="宋体"/>
          <w:color w:val="auto"/>
          <w:highlight w:val="none"/>
        </w:rPr>
        <w:t>为出厂检验项目，应逐批检验。</w:t>
      </w:r>
    </w:p>
    <w:p>
      <w:pPr>
        <w:keepNext w:val="0"/>
        <w:keepLines w:val="0"/>
        <w:pageBreakBefore w:val="0"/>
        <w:widowControl/>
        <w:kinsoku/>
        <w:wordWrap/>
        <w:overflowPunct/>
        <w:topLinePunct w:val="0"/>
        <w:bidi w:val="0"/>
        <w:adjustRightInd/>
        <w:spacing w:line="360" w:lineRule="exact"/>
        <w:ind w:firstLine="420" w:firstLineChars="200"/>
        <w:jc w:val="left"/>
        <w:outlineLvl w:val="2"/>
        <w:rPr>
          <w:rFonts w:hint="default" w:ascii="宋体" w:hAnsi="宋体" w:eastAsia="宋体" w:cs="宋体"/>
          <w:color w:val="auto"/>
          <w:highlight w:val="none"/>
          <w:lang w:val="en-US" w:eastAsia="zh-CN"/>
        </w:rPr>
      </w:pPr>
      <w:r>
        <w:rPr>
          <w:rFonts w:hint="eastAsia" w:ascii="宋体" w:hAnsi="宋体"/>
        </w:rPr>
        <w:t>本标准</w:t>
      </w:r>
      <w:r>
        <w:rPr>
          <w:rFonts w:hint="eastAsia" w:ascii="宋体" w:hAnsi="宋体" w:eastAsia="宋体" w:cs="宋体"/>
          <w:color w:val="auto"/>
          <w:highlight w:val="none"/>
          <w:lang w:val="en-US" w:eastAsia="zh-CN"/>
        </w:rPr>
        <w:t>同时对电化学性能指标合格的判定进行了较为详细的规定。</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6、批量</w:t>
      </w:r>
    </w:p>
    <w:p>
      <w:pPr>
        <w:keepNext w:val="0"/>
        <w:keepLines w:val="0"/>
        <w:pageBreakBefore w:val="0"/>
        <w:kinsoku/>
        <w:wordWrap/>
        <w:overflowPunct/>
        <w:topLinePunct w:val="0"/>
        <w:bidi w:val="0"/>
        <w:adjustRightInd/>
        <w:spacing w:line="360" w:lineRule="exact"/>
        <w:ind w:firstLine="420"/>
      </w:pPr>
      <w:r>
        <w:rPr>
          <w:rFonts w:hint="eastAsia"/>
        </w:rPr>
        <w:t>根据国内企业生产的实际情况，本产品批量定为不大于</w:t>
      </w:r>
      <w:r>
        <w:rPr>
          <w:rFonts w:hint="eastAsia"/>
          <w:lang w:val="en-US" w:eastAsia="zh-CN"/>
        </w:rPr>
        <w:t>5</w:t>
      </w:r>
      <w:r>
        <w:t xml:space="preserve"> </w:t>
      </w:r>
      <w:r>
        <w:rPr>
          <w:rFonts w:hint="eastAsia"/>
        </w:rPr>
        <w:t>t</w:t>
      </w:r>
      <w:r>
        <w:t>。</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rPr>
      </w:pPr>
      <w:r>
        <w:rPr>
          <w:rFonts w:hint="eastAsia" w:ascii="黑体" w:hAnsi="宋体" w:eastAsia="黑体"/>
        </w:rPr>
        <w:t>7、标志和随行文件、包装、运输、贮存</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ascii="Times New Roman" w:hAnsi="Times New Roman"/>
          <w:szCs w:val="20"/>
        </w:rPr>
      </w:pPr>
      <w:r>
        <w:rPr>
          <w:rFonts w:hint="eastAsia" w:ascii="Times New Roman" w:hAnsi="Times New Roman"/>
          <w:szCs w:val="20"/>
        </w:rPr>
        <w:t>除通用标志、标签外，本标准根据</w:t>
      </w:r>
      <w:r>
        <w:rPr>
          <w:rFonts w:hint="eastAsia" w:ascii="Times New Roman" w:hAnsi="Times New Roman"/>
          <w:szCs w:val="20"/>
          <w:lang w:val="en-US" w:eastAsia="zh-CN"/>
        </w:rPr>
        <w:t>铜铁锰酸钠</w:t>
      </w:r>
      <w:r>
        <w:rPr>
          <w:rFonts w:hint="eastAsia" w:ascii="Times New Roman" w:hAnsi="Times New Roman"/>
          <w:szCs w:val="20"/>
        </w:rPr>
        <w:t>的性质，规定了</w:t>
      </w:r>
      <w:r>
        <w:rPr>
          <w:rFonts w:hint="eastAsia" w:ascii="Times New Roman" w:hAnsi="Times New Roman"/>
          <w:szCs w:val="20"/>
          <w:lang w:eastAsia="zh-CN"/>
        </w:rPr>
        <w:t>“</w:t>
      </w:r>
      <w:r>
        <w:rPr>
          <w:rFonts w:hint="eastAsia" w:ascii="Times New Roman" w:hAnsi="Times New Roman"/>
          <w:szCs w:val="20"/>
          <w:lang w:val="en-US" w:eastAsia="zh-CN"/>
        </w:rPr>
        <w:t>怕晒</w:t>
      </w:r>
      <w:r>
        <w:rPr>
          <w:rFonts w:hint="eastAsia" w:ascii="Times New Roman" w:hAnsi="Times New Roman"/>
          <w:szCs w:val="20"/>
          <w:lang w:eastAsia="zh-CN"/>
        </w:rPr>
        <w:t>”</w:t>
      </w:r>
      <w:r>
        <w:rPr>
          <w:rFonts w:hint="eastAsia" w:ascii="Times New Roman" w:hAnsi="Times New Roman"/>
          <w:szCs w:val="20"/>
        </w:rPr>
        <w:t>“怕雨”标志。</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szCs w:val="20"/>
        </w:rPr>
      </w:pPr>
      <w:r>
        <w:rPr>
          <w:rFonts w:hint="eastAsia" w:ascii="Times New Roman" w:hAnsi="Times New Roman"/>
          <w:szCs w:val="20"/>
          <w:lang w:eastAsia="zh-CN"/>
        </w:rPr>
        <w:t>铜铁锰酸钠</w:t>
      </w:r>
      <w:r>
        <w:rPr>
          <w:rFonts w:hint="eastAsia" w:ascii="Times New Roman" w:hAnsi="Times New Roman"/>
          <w:szCs w:val="20"/>
        </w:rPr>
        <w:t>内包装为复合铝塑袋，抽真空热塑密封</w:t>
      </w:r>
      <w:r>
        <w:rPr>
          <w:rFonts w:ascii="Times New Roman" w:hAnsi="Times New Roman"/>
          <w:szCs w:val="20"/>
        </w:rPr>
        <w:t>封口；</w:t>
      </w:r>
      <w:r>
        <w:rPr>
          <w:rFonts w:hint="eastAsia" w:ascii="Times New Roman" w:hAnsi="Times New Roman"/>
          <w:szCs w:val="20"/>
        </w:rPr>
        <w:t>外包装采用纸箱或纸桶。</w:t>
      </w:r>
      <w:r>
        <w:rPr>
          <w:rFonts w:ascii="Times New Roman" w:hAnsi="Times New Roman"/>
          <w:szCs w:val="20"/>
        </w:rPr>
        <w:t>每</w:t>
      </w:r>
      <w:r>
        <w:rPr>
          <w:rFonts w:hint="eastAsia" w:ascii="Times New Roman" w:hAnsi="Times New Roman"/>
          <w:szCs w:val="20"/>
        </w:rPr>
        <w:t>件</w:t>
      </w:r>
      <w:r>
        <w:rPr>
          <w:rFonts w:ascii="Times New Roman" w:hAnsi="Times New Roman"/>
          <w:szCs w:val="20"/>
        </w:rPr>
        <w:t>净含量20 kg</w:t>
      </w:r>
      <w:r>
        <w:rPr>
          <w:rFonts w:hint="eastAsia" w:ascii="Times New Roman" w:hAnsi="Times New Roman"/>
          <w:szCs w:val="20"/>
        </w:rPr>
        <w:t>或2</w:t>
      </w:r>
      <w:r>
        <w:rPr>
          <w:rFonts w:ascii="Times New Roman" w:hAnsi="Times New Roman"/>
          <w:szCs w:val="20"/>
        </w:rPr>
        <w:t>5 kg</w:t>
      </w:r>
      <w:r>
        <w:rPr>
          <w:rFonts w:hint="eastAsia" w:ascii="Times New Roman" w:hAnsi="Times New Roman"/>
          <w:szCs w:val="20"/>
        </w:rPr>
        <w:t>。</w:t>
      </w:r>
      <w:r>
        <w:rPr>
          <w:rFonts w:ascii="Times New Roman" w:hAnsi="Times New Roman"/>
          <w:szCs w:val="20"/>
        </w:rPr>
        <w:t>或</w:t>
      </w:r>
      <w:r>
        <w:rPr>
          <w:rFonts w:hint="eastAsia" w:ascii="Times New Roman" w:hAnsi="Times New Roman"/>
          <w:szCs w:val="20"/>
        </w:rPr>
        <w:t>根据用户要求协商确定包装形式及净含量。</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szCs w:val="20"/>
        </w:rPr>
      </w:pPr>
      <w:r>
        <w:rPr>
          <w:rFonts w:hint="eastAsia" w:ascii="Times New Roman" w:hAnsi="Times New Roman"/>
          <w:szCs w:val="20"/>
          <w:lang w:eastAsia="zh-CN"/>
        </w:rPr>
        <w:t>铜铁锰酸钠</w:t>
      </w:r>
      <w:r>
        <w:rPr>
          <w:rFonts w:hint="eastAsia" w:ascii="Times New Roman" w:hAnsi="Times New Roman"/>
          <w:szCs w:val="20"/>
        </w:rPr>
        <w:t>运输过程中，应防止</w:t>
      </w:r>
      <w:r>
        <w:rPr>
          <w:rFonts w:hint="eastAsia" w:ascii="Times New Roman" w:hAnsi="Times New Roman"/>
          <w:szCs w:val="20"/>
          <w:lang w:val="en-US" w:eastAsia="zh-CN"/>
        </w:rPr>
        <w:t>日晒、</w:t>
      </w:r>
      <w:r>
        <w:rPr>
          <w:rFonts w:hint="eastAsia" w:ascii="Times New Roman" w:hAnsi="Times New Roman"/>
          <w:szCs w:val="20"/>
        </w:rPr>
        <w:t>雨淋</w:t>
      </w:r>
      <w:r>
        <w:rPr>
          <w:rFonts w:hint="eastAsia" w:ascii="Times New Roman" w:hAnsi="Times New Roman"/>
          <w:szCs w:val="20"/>
          <w:lang w:eastAsia="zh-CN"/>
        </w:rPr>
        <w:t>、</w:t>
      </w:r>
      <w:r>
        <w:rPr>
          <w:rFonts w:hint="eastAsia" w:ascii="Times New Roman" w:hAnsi="Times New Roman"/>
          <w:szCs w:val="20"/>
        </w:rPr>
        <w:t>受潮和包装破损。</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szCs w:val="20"/>
        </w:rPr>
      </w:pPr>
      <w:r>
        <w:rPr>
          <w:rFonts w:hint="eastAsia" w:ascii="Times New Roman" w:hAnsi="Times New Roman"/>
          <w:szCs w:val="20"/>
          <w:lang w:eastAsia="zh-CN"/>
        </w:rPr>
        <w:t>铜铁锰酸钠</w:t>
      </w:r>
      <w:r>
        <w:rPr>
          <w:rFonts w:hint="eastAsia" w:ascii="Times New Roman" w:hAnsi="Times New Roman"/>
          <w:szCs w:val="20"/>
        </w:rPr>
        <w:t>应贮存于阴凉</w:t>
      </w:r>
      <w:r>
        <w:rPr>
          <w:rFonts w:ascii="Times New Roman" w:hAnsi="Times New Roman"/>
          <w:szCs w:val="20"/>
        </w:rPr>
        <w:t>、</w:t>
      </w:r>
      <w:r>
        <w:rPr>
          <w:rFonts w:hint="eastAsia" w:ascii="Times New Roman" w:hAnsi="Times New Roman"/>
          <w:szCs w:val="20"/>
        </w:rPr>
        <w:t>干燥处，防止日晒、雨淋、受潮。</w:t>
      </w:r>
    </w:p>
    <w:p>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szCs w:val="20"/>
          <w:lang w:eastAsia="zh-CN"/>
        </w:rPr>
      </w:pPr>
      <w:r>
        <w:rPr>
          <w:rFonts w:hint="eastAsia" w:ascii="Times New Roman" w:hAnsi="Times New Roman"/>
          <w:szCs w:val="20"/>
        </w:rPr>
        <w:t>钠离子电池用</w:t>
      </w:r>
      <w:r>
        <w:rPr>
          <w:rFonts w:hint="eastAsia" w:ascii="Times New Roman"/>
          <w:szCs w:val="20"/>
          <w:lang w:val="en-US" w:eastAsia="zh-CN"/>
        </w:rPr>
        <w:t>铜</w:t>
      </w:r>
      <w:r>
        <w:rPr>
          <w:rFonts w:hint="eastAsia" w:ascii="Times New Roman" w:hAnsi="Times New Roman"/>
          <w:szCs w:val="20"/>
        </w:rPr>
        <w:t>铁锰酸钠在符合本标准规定的包装、运输、贮存条件下，自生产之日起保质期不少于12个月</w:t>
      </w:r>
      <w:r>
        <w:rPr>
          <w:rFonts w:hint="eastAsia" w:ascii="Times New Roman" w:hAnsi="Times New Roman"/>
          <w:szCs w:val="20"/>
          <w:lang w:eastAsia="zh-CN"/>
        </w:rPr>
        <w:t>。</w:t>
      </w:r>
    </w:p>
    <w:p>
      <w:pPr>
        <w:keepNext w:val="0"/>
        <w:keepLines w:val="0"/>
        <w:pageBreakBefore w:val="0"/>
        <w:kinsoku/>
        <w:wordWrap/>
        <w:overflowPunct/>
        <w:topLinePunct w:val="0"/>
        <w:bidi w:val="0"/>
        <w:adjustRightInd/>
        <w:spacing w:before="78" w:beforeLines="25" w:after="78" w:afterLines="25" w:line="360" w:lineRule="exact"/>
        <w:rPr>
          <w:rFonts w:hint="eastAsia" w:ascii="黑体" w:hAnsi="宋体" w:eastAsia="黑体"/>
          <w:highlight w:val="none"/>
        </w:rPr>
      </w:pPr>
      <w:r>
        <w:rPr>
          <w:rFonts w:hint="eastAsia" w:ascii="黑体" w:hAnsi="宋体" w:eastAsia="黑体"/>
          <w:highlight w:val="none"/>
          <w:lang w:val="en-US" w:eastAsia="zh-CN"/>
        </w:rPr>
        <w:t>五</w:t>
      </w:r>
      <w:r>
        <w:rPr>
          <w:rFonts w:hint="eastAsia" w:ascii="黑体" w:hAnsi="宋体" w:eastAsia="黑体"/>
          <w:highlight w:val="none"/>
        </w:rPr>
        <w:t>、标准水平分析</w:t>
      </w:r>
    </w:p>
    <w:p>
      <w:pPr>
        <w:keepNext w:val="0"/>
        <w:keepLines w:val="0"/>
        <w:pageBreakBefore w:val="0"/>
        <w:kinsoku/>
        <w:wordWrap/>
        <w:overflowPunct/>
        <w:topLinePunct w:val="0"/>
        <w:bidi w:val="0"/>
        <w:adjustRightInd/>
        <w:spacing w:line="360" w:lineRule="exact"/>
        <w:ind w:firstLine="420" w:firstLineChars="200"/>
        <w:rPr>
          <w:rFonts w:hint="eastAsia"/>
        </w:rPr>
      </w:pPr>
      <w:r>
        <w:rPr>
          <w:rFonts w:hint="eastAsia"/>
        </w:rPr>
        <w:t>本标准根据国内实际生产和客户需求进行制定，设置了</w:t>
      </w:r>
      <w:r>
        <w:rPr>
          <w:rFonts w:hint="eastAsia"/>
          <w:lang w:val="en-US" w:eastAsia="zh-CN"/>
        </w:rPr>
        <w:t>钠含量、铜铁锰合量、钙含量、镉含量残余钠含量和磁性异物等12</w:t>
      </w:r>
      <w:r>
        <w:rPr>
          <w:rFonts w:hint="eastAsia"/>
        </w:rPr>
        <w:t>项化学</w:t>
      </w:r>
      <w:r>
        <w:rPr>
          <w:rFonts w:hint="eastAsia"/>
          <w:lang w:val="en-US" w:eastAsia="zh-CN"/>
        </w:rPr>
        <w:t>成分</w:t>
      </w:r>
      <w:r>
        <w:rPr>
          <w:rFonts w:hint="eastAsia"/>
        </w:rPr>
        <w:t>指标，设置了</w:t>
      </w:r>
      <w:r>
        <w:rPr>
          <w:rFonts w:hint="eastAsia"/>
          <w:lang w:val="en-US" w:eastAsia="zh-CN"/>
        </w:rPr>
        <w:t>水分、pH、粒度、比表面积4</w:t>
      </w:r>
      <w:r>
        <w:rPr>
          <w:rFonts w:hint="eastAsia"/>
        </w:rPr>
        <w:t>项</w:t>
      </w:r>
      <w:r>
        <w:rPr>
          <w:rFonts w:hint="eastAsia"/>
          <w:lang w:val="en-US" w:eastAsia="zh-CN"/>
        </w:rPr>
        <w:t>物理</w:t>
      </w:r>
      <w:r>
        <w:rPr>
          <w:rFonts w:hint="eastAsia"/>
        </w:rPr>
        <w:t>指标</w:t>
      </w:r>
      <w:r>
        <w:rPr>
          <w:rFonts w:hint="eastAsia"/>
          <w:lang w:eastAsia="zh-CN"/>
        </w:rPr>
        <w:t>，</w:t>
      </w:r>
      <w:r>
        <w:rPr>
          <w:rFonts w:hint="eastAsia"/>
          <w:lang w:val="en-US" w:eastAsia="zh-CN"/>
        </w:rPr>
        <w:t>同时还设置了首次放电比容量、首次充放电效率、循环寿命3项电化学指标。</w:t>
      </w:r>
      <w:r>
        <w:rPr>
          <w:rFonts w:hint="eastAsia"/>
        </w:rPr>
        <w:t>指标值设置科学合理，满足客户需要。</w:t>
      </w:r>
      <w:r>
        <w:rPr>
          <w:rFonts w:hint="eastAsia" w:ascii="宋体" w:hAnsi="宋体"/>
        </w:rPr>
        <w:t>试验方法均采用经典、常用的方法，</w:t>
      </w:r>
      <w:r>
        <w:rPr>
          <w:rFonts w:hint="eastAsia"/>
        </w:rPr>
        <w:t>可操作性强。</w:t>
      </w:r>
    </w:p>
    <w:p>
      <w:pPr>
        <w:keepNext w:val="0"/>
        <w:keepLines w:val="0"/>
        <w:pageBreakBefore w:val="0"/>
        <w:kinsoku/>
        <w:wordWrap/>
        <w:overflowPunct/>
        <w:topLinePunct w:val="0"/>
        <w:bidi w:val="0"/>
        <w:adjustRightInd/>
        <w:spacing w:line="360" w:lineRule="exact"/>
        <w:ind w:firstLine="420" w:firstLineChars="200"/>
      </w:pPr>
      <w:r>
        <w:rPr>
          <w:rFonts w:hint="eastAsia"/>
        </w:rPr>
        <w:t>综合分析，本标准达到国内先进水平。</w:t>
      </w:r>
    </w:p>
    <w:p>
      <w:pPr>
        <w:keepNext w:val="0"/>
        <w:keepLines w:val="0"/>
        <w:pageBreakBefore w:val="0"/>
        <w:kinsoku/>
        <w:wordWrap/>
        <w:overflowPunct/>
        <w:topLinePunct w:val="0"/>
        <w:bidi w:val="0"/>
        <w:adjustRightInd/>
        <w:spacing w:line="360" w:lineRule="exact"/>
        <w:ind w:firstLine="420" w:firstLineChars="200"/>
        <w:rPr>
          <w:rFonts w:hint="eastAsia" w:ascii="宋体" w:hAnsi="宋体"/>
        </w:rPr>
        <w:sectPr>
          <w:footerReference r:id="rId7" w:type="default"/>
          <w:headerReference r:id="rId6" w:type="even"/>
          <w:footerReference r:id="rId8" w:type="even"/>
          <w:pgSz w:w="11907" w:h="16840"/>
          <w:pgMar w:top="1134" w:right="1134" w:bottom="1134" w:left="1134" w:header="964" w:footer="1021" w:gutter="0"/>
          <w:cols w:space="720" w:num="1"/>
          <w:docGrid w:type="linesAndChars" w:linePitch="312" w:charSpace="0"/>
        </w:sectPr>
      </w:pPr>
    </w:p>
    <w:p>
      <w:pPr>
        <w:keepNext w:val="0"/>
        <w:keepLines w:val="0"/>
        <w:pageBreakBefore w:val="0"/>
        <w:kinsoku/>
        <w:wordWrap/>
        <w:overflowPunct/>
        <w:topLinePunct w:val="0"/>
        <w:bidi w:val="0"/>
        <w:adjustRightInd/>
        <w:spacing w:line="360" w:lineRule="exact"/>
        <w:jc w:val="lef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附表1：                                         国内标准指标对比表</w:t>
      </w:r>
    </w:p>
    <w:tbl>
      <w:tblPr>
        <w:tblStyle w:val="11"/>
        <w:tblW w:w="1406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773"/>
        <w:gridCol w:w="1533"/>
        <w:gridCol w:w="2151"/>
        <w:gridCol w:w="2151"/>
        <w:gridCol w:w="2024"/>
        <w:gridCol w:w="2278"/>
        <w:gridCol w:w="21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blHeader/>
        </w:trPr>
        <w:tc>
          <w:tcPr>
            <w:tcW w:w="3306" w:type="dxa"/>
            <w:gridSpan w:val="2"/>
            <w:tcBorders>
              <w:top w:val="single" w:color="auto" w:sz="8"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cs="宋体"/>
                <w:b/>
                <w:bCs/>
                <w:kern w:val="0"/>
                <w:sz w:val="21"/>
                <w:szCs w:val="21"/>
              </w:rPr>
            </w:pPr>
            <w:r>
              <w:rPr>
                <w:rFonts w:hint="eastAsia" w:cs="宋体"/>
                <w:b/>
                <w:bCs/>
                <w:kern w:val="0"/>
                <w:sz w:val="21"/>
                <w:szCs w:val="21"/>
                <w:lang w:val="en-US" w:eastAsia="zh-CN" w:bidi="ar"/>
              </w:rPr>
              <w:t>项目</w:t>
            </w:r>
            <w:r>
              <w:rPr>
                <w:rFonts w:hint="eastAsia" w:cs="宋体"/>
                <w:b/>
                <w:bCs/>
                <w:kern w:val="0"/>
                <w:sz w:val="21"/>
                <w:szCs w:val="21"/>
                <w:lang w:bidi="ar"/>
              </w:rPr>
              <w:t>化学成分（wt.%）</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cs="宋体"/>
                <w:b/>
                <w:bCs/>
                <w:kern w:val="0"/>
                <w:sz w:val="21"/>
                <w:szCs w:val="21"/>
              </w:rPr>
            </w:pPr>
            <w:r>
              <w:rPr>
                <w:rFonts w:hint="eastAsia" w:cs="宋体"/>
                <w:b/>
                <w:bCs/>
                <w:kern w:val="0"/>
                <w:sz w:val="21"/>
                <w:szCs w:val="21"/>
              </w:rPr>
              <w:t>企业1</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eastAsia="宋体" w:cs="宋体"/>
                <w:b/>
                <w:bCs/>
                <w:kern w:val="0"/>
                <w:sz w:val="21"/>
                <w:szCs w:val="21"/>
                <w:lang w:val="en-US" w:eastAsia="zh-CN"/>
              </w:rPr>
            </w:pPr>
            <w:r>
              <w:rPr>
                <w:rFonts w:hint="eastAsia" w:cs="宋体"/>
                <w:b/>
                <w:bCs/>
                <w:kern w:val="0"/>
                <w:sz w:val="21"/>
                <w:szCs w:val="21"/>
                <w:lang w:val="en-US" w:eastAsia="zh-CN"/>
              </w:rPr>
              <w:t>企业2</w:t>
            </w:r>
          </w:p>
        </w:tc>
        <w:tc>
          <w:tcPr>
            <w:tcW w:w="2024"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cs="宋体"/>
                <w:b/>
                <w:bCs/>
                <w:kern w:val="0"/>
                <w:sz w:val="21"/>
                <w:szCs w:val="21"/>
                <w:lang w:val="en-US" w:eastAsia="zh-CN"/>
              </w:rPr>
            </w:pPr>
            <w:r>
              <w:rPr>
                <w:rFonts w:hint="eastAsia" w:cs="宋体"/>
                <w:b/>
                <w:bCs/>
                <w:kern w:val="0"/>
                <w:sz w:val="21"/>
                <w:szCs w:val="21"/>
                <w:lang w:val="en-US" w:eastAsia="zh-CN"/>
              </w:rPr>
              <w:t>企业3典型值</w:t>
            </w:r>
          </w:p>
        </w:tc>
        <w:tc>
          <w:tcPr>
            <w:tcW w:w="2278"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eastAsia" w:cs="宋体"/>
                <w:b/>
                <w:bCs/>
                <w:kern w:val="0"/>
                <w:sz w:val="21"/>
                <w:szCs w:val="21"/>
                <w:lang w:val="en-US" w:eastAsia="zh-CN"/>
              </w:rPr>
            </w:pPr>
            <w:r>
              <w:rPr>
                <w:rFonts w:hint="eastAsia" w:cs="宋体"/>
                <w:b/>
                <w:bCs/>
                <w:kern w:val="0"/>
                <w:sz w:val="21"/>
                <w:szCs w:val="21"/>
                <w:lang w:val="en-US" w:eastAsia="zh-CN"/>
              </w:rPr>
              <w:t>中国有色金属工业协会</w:t>
            </w:r>
          </w:p>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cs="宋体"/>
                <w:b/>
                <w:bCs/>
                <w:kern w:val="0"/>
                <w:sz w:val="21"/>
                <w:szCs w:val="21"/>
                <w:lang w:val="en-US" w:eastAsia="zh-CN"/>
              </w:rPr>
            </w:pPr>
            <w:r>
              <w:rPr>
                <w:rFonts w:hint="eastAsia" w:cs="宋体"/>
                <w:b/>
                <w:bCs/>
                <w:kern w:val="0"/>
                <w:sz w:val="21"/>
                <w:szCs w:val="21"/>
                <w:lang w:val="en-US" w:eastAsia="zh-CN"/>
              </w:rPr>
              <w:t>团体标准</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cs="宋体"/>
                <w:b/>
                <w:bCs/>
                <w:kern w:val="0"/>
                <w:sz w:val="21"/>
                <w:szCs w:val="21"/>
                <w:lang w:val="en-US" w:eastAsia="zh-CN"/>
              </w:rPr>
            </w:pPr>
            <w:r>
              <w:rPr>
                <w:rFonts w:hint="eastAsia" w:cs="宋体"/>
                <w:b/>
                <w:bCs/>
                <w:kern w:val="0"/>
                <w:sz w:val="21"/>
                <w:szCs w:val="21"/>
                <w:lang w:val="en-US" w:eastAsia="zh-CN"/>
              </w:rPr>
              <w:t>本次制定标准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306" w:type="dxa"/>
            <w:gridSpan w:val="2"/>
            <w:tcBorders>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rFonts w:hint="default" w:eastAsia="宋体"/>
                <w:b/>
                <w:bCs/>
                <w:kern w:val="0"/>
                <w:sz w:val="21"/>
                <w:szCs w:val="21"/>
                <w:lang w:val="en-US" w:eastAsia="zh-CN"/>
              </w:rPr>
            </w:pPr>
            <w:r>
              <w:rPr>
                <w:rFonts w:hint="eastAsia" w:ascii="Times New Roman" w:hAnsi="Times New Roman"/>
                <w:color w:val="auto"/>
                <w:kern w:val="0"/>
                <w:sz w:val="21"/>
                <w:szCs w:val="21"/>
                <w:highlight w:val="none"/>
              </w:rPr>
              <w:t>钠（N</w:t>
            </w:r>
            <w:r>
              <w:rPr>
                <w:rFonts w:ascii="Times New Roman" w:hAnsi="Times New Roman"/>
                <w:color w:val="auto"/>
                <w:kern w:val="0"/>
                <w:sz w:val="21"/>
                <w:szCs w:val="21"/>
                <w:highlight w:val="none"/>
              </w:rPr>
              <w:t>a</w:t>
            </w:r>
            <w:r>
              <w:rPr>
                <w:rFonts w:hint="eastAsia" w:ascii="Times New Roman" w:hAnsi="Times New Roman"/>
                <w:color w:val="auto"/>
                <w:kern w:val="0"/>
                <w:sz w:val="21"/>
                <w:szCs w:val="21"/>
                <w:highlight w:val="none"/>
              </w:rPr>
              <w:t>，以干基计）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kern w:val="0"/>
                <w:sz w:val="21"/>
                <w:szCs w:val="21"/>
                <w:lang w:val="en-US"/>
              </w:rPr>
            </w:pPr>
            <w:r>
              <w:rPr>
                <w:rFonts w:hint="default" w:ascii="Times New Roman" w:hAnsi="Times New Roman" w:eastAsia="宋体" w:cs="Times New Roman"/>
                <w:i w:val="0"/>
                <w:iCs w:val="0"/>
                <w:color w:val="000000"/>
                <w:kern w:val="0"/>
                <w:sz w:val="21"/>
                <w:szCs w:val="21"/>
                <w:u w:val="none"/>
                <w:lang w:val="en-US" w:eastAsia="zh-CN" w:bidi="ar"/>
              </w:rPr>
              <w:t>17.0</w:t>
            </w:r>
            <w:r>
              <w:rPr>
                <w:rFonts w:hint="eastAsia" w:cs="Times New Roman"/>
                <w:i w:val="0"/>
                <w:iCs w:val="0"/>
                <w:color w:val="000000"/>
                <w:kern w:val="0"/>
                <w:sz w:val="21"/>
                <w:szCs w:val="21"/>
                <w:u w:val="none"/>
                <w:lang w:val="en-US" w:eastAsia="zh-CN" w:bidi="ar"/>
              </w:rPr>
              <w:t>0</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23.00</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17.0</w:t>
            </w:r>
            <w:r>
              <w:rPr>
                <w:rFonts w:hint="eastAsia" w:cs="Times New Roman"/>
                <w:i w:val="0"/>
                <w:iCs w:val="0"/>
                <w:color w:val="000000"/>
                <w:kern w:val="0"/>
                <w:sz w:val="21"/>
                <w:szCs w:val="21"/>
                <w:u w:val="none"/>
                <w:lang w:val="en-US" w:eastAsia="zh-CN" w:bidi="ar"/>
              </w:rPr>
              <w:t>0</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23.00</w:t>
            </w:r>
          </w:p>
        </w:tc>
        <w:tc>
          <w:tcPr>
            <w:tcW w:w="2024"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eastAsia" w:ascii="Times New Roman" w:hAnsi="Times New Roman" w:eastAsia="宋体" w:cs="Times New Roman"/>
                <w:color w:val="auto"/>
                <w:kern w:val="0"/>
                <w:sz w:val="21"/>
                <w:szCs w:val="21"/>
                <w:highlight w:val="none"/>
                <w:lang w:val="en-US" w:eastAsia="zh-CN" w:bidi="ar-SA"/>
              </w:rPr>
            </w:pPr>
            <w:r>
              <w:rPr>
                <w:rFonts w:ascii="Times New Roman" w:hAnsi="Times New Roman"/>
                <w:color w:val="auto"/>
                <w:kern w:val="0"/>
                <w:sz w:val="21"/>
                <w:szCs w:val="21"/>
                <w:highlight w:val="none"/>
              </w:rPr>
              <w:t>17.00</w:t>
            </w:r>
            <w:r>
              <w:rPr>
                <w:rFonts w:hint="eastAsia" w:ascii="Times New Roman" w:hAnsi="Times New Roman"/>
                <w:color w:val="auto"/>
                <w:kern w:val="0"/>
                <w:sz w:val="21"/>
                <w:szCs w:val="21"/>
                <w:highlight w:val="none"/>
              </w:rPr>
              <w:t>～</w:t>
            </w:r>
            <w:r>
              <w:rPr>
                <w:rFonts w:ascii="Times New Roman" w:hAnsi="Times New Roman"/>
                <w:color w:val="auto"/>
                <w:kern w:val="0"/>
                <w:sz w:val="21"/>
                <w:szCs w:val="21"/>
                <w:highlight w:val="none"/>
              </w:rPr>
              <w:t>23.00</w:t>
            </w:r>
          </w:p>
        </w:tc>
        <w:tc>
          <w:tcPr>
            <w:tcW w:w="2151"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eastAsia" w:ascii="Times New Roman" w:hAnsi="Times New Roman" w:eastAsia="宋体" w:cs="Times New Roman"/>
                <w:color w:val="auto"/>
                <w:kern w:val="0"/>
                <w:sz w:val="21"/>
                <w:szCs w:val="21"/>
                <w:highlight w:val="none"/>
                <w:lang w:val="en-US" w:eastAsia="zh-CN" w:bidi="ar-SA"/>
              </w:rPr>
            </w:pPr>
            <w:r>
              <w:rPr>
                <w:rFonts w:ascii="Times New Roman" w:hAnsi="Times New Roman"/>
                <w:color w:val="auto"/>
                <w:kern w:val="0"/>
                <w:sz w:val="21"/>
                <w:szCs w:val="21"/>
                <w:highlight w:val="none"/>
              </w:rPr>
              <w:t>17.0</w:t>
            </w:r>
            <w:r>
              <w:rPr>
                <w:rFonts w:hint="eastAsia" w:ascii="Times New Roman" w:hAnsi="Times New Roman"/>
                <w:color w:val="auto"/>
                <w:kern w:val="0"/>
                <w:sz w:val="21"/>
                <w:szCs w:val="21"/>
                <w:highlight w:val="none"/>
              </w:rPr>
              <w:t>～</w:t>
            </w:r>
            <w:r>
              <w:rPr>
                <w:rFonts w:ascii="Times New Roman" w:hAnsi="Times New Roman"/>
                <w:color w:val="auto"/>
                <w:kern w:val="0"/>
                <w:sz w:val="21"/>
                <w:szCs w:val="21"/>
                <w:highlight w:val="none"/>
              </w:rPr>
              <w:t>23.0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b/>
                <w:bCs/>
                <w:kern w:val="0"/>
                <w:sz w:val="21"/>
                <w:szCs w:val="21"/>
              </w:rPr>
            </w:pPr>
            <w:r>
              <w:rPr>
                <w:rFonts w:hint="eastAsia" w:ascii="Times New Roman" w:hAnsi="Times New Roman"/>
                <w:color w:val="auto"/>
                <w:kern w:val="0"/>
                <w:sz w:val="21"/>
                <w:szCs w:val="21"/>
                <w:highlight w:val="none"/>
              </w:rPr>
              <w:t>铜铁锰（</w:t>
            </w:r>
            <w:r>
              <w:rPr>
                <w:rFonts w:ascii="Times New Roman" w:hAnsi="Times New Roman"/>
                <w:color w:val="auto"/>
                <w:kern w:val="0"/>
                <w:sz w:val="21"/>
                <w:szCs w:val="21"/>
                <w:highlight w:val="none"/>
              </w:rPr>
              <w:t>Cu</w:t>
            </w:r>
            <w:r>
              <w:rPr>
                <w:rFonts w:hint="eastAsia" w:ascii="Times New Roman" w:hAnsi="Times New Roman"/>
                <w:color w:val="auto"/>
                <w:kern w:val="0"/>
                <w:sz w:val="21"/>
                <w:szCs w:val="21"/>
                <w:highlight w:val="none"/>
              </w:rPr>
              <w:t>+</w:t>
            </w:r>
            <w:r>
              <w:rPr>
                <w:rFonts w:ascii="Times New Roman" w:hAnsi="Times New Roman"/>
                <w:color w:val="auto"/>
                <w:kern w:val="0"/>
                <w:sz w:val="21"/>
                <w:szCs w:val="21"/>
                <w:highlight w:val="none"/>
              </w:rPr>
              <w:t>Fe+</w:t>
            </w:r>
            <w:r>
              <w:rPr>
                <w:rFonts w:hint="eastAsia" w:ascii="Times New Roman" w:hAnsi="Times New Roman"/>
                <w:color w:val="auto"/>
                <w:kern w:val="0"/>
                <w:sz w:val="21"/>
                <w:szCs w:val="21"/>
                <w:highlight w:val="none"/>
              </w:rPr>
              <w:t>M</w:t>
            </w:r>
            <w:r>
              <w:rPr>
                <w:rFonts w:ascii="Times New Roman" w:hAnsi="Times New Roman"/>
                <w:color w:val="auto"/>
                <w:kern w:val="0"/>
                <w:sz w:val="21"/>
                <w:szCs w:val="21"/>
                <w:highlight w:val="none"/>
              </w:rPr>
              <w:t>n</w:t>
            </w:r>
            <w:r>
              <w:rPr>
                <w:rFonts w:hint="eastAsia" w:ascii="Times New Roman" w:hAnsi="Times New Roman"/>
                <w:color w:val="auto"/>
                <w:kern w:val="0"/>
                <w:sz w:val="21"/>
                <w:szCs w:val="21"/>
                <w:highlight w:val="none"/>
              </w:rPr>
              <w:t>，以干基计）</w:t>
            </w:r>
            <w:r>
              <w:rPr>
                <w:rFonts w:hint="eastAsia" w:ascii="Times New Roman" w:hAnsi="Times New Roman"/>
                <w:color w:val="auto"/>
                <w:kern w:val="0"/>
                <w:sz w:val="21"/>
                <w:szCs w:val="21"/>
                <w:highlight w:val="none"/>
                <w:lang w:val="en-US" w:eastAsia="zh-CN"/>
              </w:rPr>
              <w:t>合</w:t>
            </w:r>
            <w:r>
              <w:rPr>
                <w:rFonts w:hint="eastAsia" w:ascii="Times New Roman" w:hAnsi="Times New Roman"/>
                <w:color w:val="auto"/>
                <w:kern w:val="0"/>
                <w:sz w:val="21"/>
                <w:szCs w:val="21"/>
                <w:highlight w:val="none"/>
              </w:rPr>
              <w:t>量</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kern w:val="0"/>
                <w:sz w:val="21"/>
                <w:szCs w:val="21"/>
                <w:lang w:val="en-US"/>
              </w:rPr>
            </w:pPr>
            <w:r>
              <w:rPr>
                <w:rFonts w:hint="eastAsia" w:cs="Times New Roman"/>
                <w:i w:val="0"/>
                <w:iCs w:val="0"/>
                <w:color w:val="000000"/>
                <w:kern w:val="0"/>
                <w:sz w:val="21"/>
                <w:szCs w:val="21"/>
                <w:u w:val="none"/>
                <w:lang w:val="en-US" w:eastAsia="zh-CN" w:bidi="ar"/>
              </w:rPr>
              <w:t>23.00</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44.80</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23.00~42.00</w:t>
            </w:r>
          </w:p>
        </w:tc>
        <w:tc>
          <w:tcPr>
            <w:tcW w:w="2024"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spacing w:val="-1"/>
                <w:sz w:val="21"/>
                <w:szCs w:val="21"/>
                <w:highlight w:val="none"/>
              </w:rPr>
              <w:t>42</w:t>
            </w:r>
            <w:r>
              <w:rPr>
                <w:rFonts w:ascii="Times New Roman" w:hAnsi="Times New Roman"/>
                <w:color w:val="auto"/>
                <w:spacing w:val="-1"/>
                <w:sz w:val="21"/>
                <w:szCs w:val="21"/>
                <w:highlight w:val="none"/>
              </w:rPr>
              <w:t>.0</w:t>
            </w:r>
            <w:r>
              <w:rPr>
                <w:rFonts w:hint="eastAsia" w:ascii="Times New Roman" w:hAnsi="Times New Roman"/>
                <w:color w:val="auto"/>
                <w:spacing w:val="-1"/>
                <w:sz w:val="21"/>
                <w:szCs w:val="21"/>
                <w:highlight w:val="none"/>
              </w:rPr>
              <w:t>0</w:t>
            </w:r>
            <w:r>
              <w:rPr>
                <w:rFonts w:hint="eastAsia" w:ascii="Times New Roman" w:hAnsi="Times New Roman"/>
                <w:color w:val="auto"/>
                <w:kern w:val="0"/>
                <w:sz w:val="21"/>
                <w:szCs w:val="21"/>
                <w:highlight w:val="none"/>
              </w:rPr>
              <w:t>～</w:t>
            </w:r>
            <w:r>
              <w:rPr>
                <w:rFonts w:hint="eastAsia" w:ascii="Times New Roman" w:hAnsi="Times New Roman"/>
                <w:color w:val="auto"/>
                <w:spacing w:val="-1"/>
                <w:sz w:val="21"/>
                <w:szCs w:val="21"/>
                <w:highlight w:val="none"/>
              </w:rPr>
              <w:t>53.00</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spacing w:val="-1"/>
                <w:sz w:val="21"/>
                <w:szCs w:val="21"/>
                <w:highlight w:val="none"/>
              </w:rPr>
              <w:t>42</w:t>
            </w:r>
            <w:r>
              <w:rPr>
                <w:rFonts w:ascii="Times New Roman" w:hAnsi="Times New Roman"/>
                <w:color w:val="auto"/>
                <w:spacing w:val="-1"/>
                <w:sz w:val="21"/>
                <w:szCs w:val="21"/>
                <w:highlight w:val="none"/>
              </w:rPr>
              <w:t>.0</w:t>
            </w:r>
            <w:r>
              <w:rPr>
                <w:rFonts w:hint="eastAsia" w:ascii="Times New Roman" w:hAnsi="Times New Roman"/>
                <w:color w:val="auto"/>
                <w:kern w:val="0"/>
                <w:sz w:val="21"/>
                <w:szCs w:val="21"/>
                <w:highlight w:val="none"/>
              </w:rPr>
              <w:t>～</w:t>
            </w:r>
            <w:r>
              <w:rPr>
                <w:rFonts w:hint="eastAsia" w:ascii="Times New Roman" w:hAnsi="Times New Roman"/>
                <w:color w:val="auto"/>
                <w:spacing w:val="-1"/>
                <w:sz w:val="21"/>
                <w:szCs w:val="21"/>
                <w:highlight w:val="none"/>
              </w:rPr>
              <w:t>53.0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rFonts w:hint="eastAsia" w:ascii="Times New Roman" w:hAnsi="Times New Roman"/>
                <w:color w:val="auto"/>
                <w:kern w:val="0"/>
                <w:sz w:val="21"/>
                <w:szCs w:val="21"/>
                <w:highlight w:val="none"/>
              </w:rPr>
            </w:pPr>
            <w:r>
              <w:rPr>
                <w:rFonts w:ascii="Times New Roman" w:hAnsi="Times New Roman"/>
                <w:color w:val="auto"/>
                <w:kern w:val="0"/>
                <w:sz w:val="21"/>
                <w:szCs w:val="21"/>
                <w:highlight w:val="none"/>
              </w:rPr>
              <w:t>钙（Ca，以干基计）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8"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lang w:val="en-US" w:eastAsia="zh-CN"/>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rFonts w:cs="宋体"/>
                <w:b/>
                <w:bCs/>
                <w:kern w:val="0"/>
                <w:sz w:val="21"/>
                <w:szCs w:val="21"/>
              </w:rPr>
            </w:pPr>
            <w:r>
              <w:rPr>
                <w:rFonts w:hint="eastAsia" w:ascii="Times New Roman" w:hAnsi="Times New Roman"/>
                <w:color w:val="auto"/>
                <w:kern w:val="0"/>
                <w:sz w:val="21"/>
                <w:szCs w:val="21"/>
                <w:highlight w:val="none"/>
              </w:rPr>
              <w:t>镉（Cd，以干基计）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kern w:val="0"/>
                <w:sz w:val="21"/>
                <w:szCs w:val="21"/>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0.02</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20" w:lineRule="exact"/>
              <w:jc w:val="left"/>
              <w:rPr>
                <w:rFonts w:cs="Calibri"/>
                <w:b/>
                <w:bCs/>
                <w:sz w:val="21"/>
                <w:szCs w:val="21"/>
              </w:rPr>
            </w:pPr>
            <w:r>
              <w:rPr>
                <w:rFonts w:hint="eastAsia" w:ascii="Times New Roman" w:hAnsi="Times New Roman"/>
                <w:color w:val="auto"/>
                <w:kern w:val="0"/>
                <w:sz w:val="21"/>
                <w:szCs w:val="21"/>
                <w:highlight w:val="none"/>
              </w:rPr>
              <w:t>铬（Cr，以干基计）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kern w:val="0"/>
                <w:sz w:val="21"/>
                <w:szCs w:val="21"/>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2</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20" w:lineRule="exact"/>
              <w:jc w:val="left"/>
              <w:rPr>
                <w:rFonts w:hint="eastAsia" w:ascii="Times New Roman" w:hAnsi="Times New Roman"/>
                <w:color w:val="auto"/>
                <w:kern w:val="0"/>
                <w:sz w:val="21"/>
                <w:szCs w:val="21"/>
                <w:highlight w:val="none"/>
              </w:rPr>
            </w:pPr>
            <w:r>
              <w:rPr>
                <w:rFonts w:ascii="Times New Roman" w:hAnsi="Times New Roman"/>
                <w:color w:val="auto"/>
                <w:kern w:val="0"/>
                <w:sz w:val="21"/>
                <w:szCs w:val="21"/>
                <w:highlight w:val="none"/>
              </w:rPr>
              <w:t>镁（Mg，以干基计）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color w:val="auto"/>
                <w:kern w:val="0"/>
                <w:sz w:val="21"/>
                <w:szCs w:val="21"/>
                <w:highlight w:val="none"/>
                <w:lang w:val="en-US" w:eastAsia="zh-CN"/>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20" w:lineRule="exact"/>
              <w:jc w:val="left"/>
              <w:rPr>
                <w:rFonts w:cs="Calibri"/>
                <w:b/>
                <w:bCs/>
                <w:sz w:val="21"/>
                <w:szCs w:val="21"/>
              </w:rPr>
            </w:pPr>
            <w:r>
              <w:rPr>
                <w:rFonts w:hint="eastAsia" w:ascii="Times New Roman" w:hAnsi="Times New Roman"/>
                <w:color w:val="auto"/>
                <w:kern w:val="0"/>
                <w:sz w:val="21"/>
                <w:szCs w:val="21"/>
                <w:highlight w:val="none"/>
              </w:rPr>
              <w:t>铅（Pb，以干基计）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kern w:val="0"/>
                <w:sz w:val="21"/>
                <w:szCs w:val="21"/>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2</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left"/>
              <w:rPr>
                <w:rFonts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kern w:val="0"/>
                <w:sz w:val="21"/>
                <w:szCs w:val="21"/>
                <w:highlight w:val="none"/>
              </w:rPr>
              <w:t>硫（S，以干基计）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kern w:val="0"/>
                <w:sz w:val="21"/>
                <w:szCs w:val="21"/>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0.25</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w:t>
            </w:r>
            <w:r>
              <w:rPr>
                <w:rFonts w:hint="eastAsia" w:cs="Times New Roman"/>
                <w:i w:val="0"/>
                <w:iCs w:val="0"/>
                <w:color w:val="000000"/>
                <w:kern w:val="0"/>
                <w:sz w:val="21"/>
                <w:szCs w:val="21"/>
                <w:u w:val="none"/>
                <w:lang w:val="en-US" w:eastAsia="zh-CN" w:bidi="ar"/>
              </w:rPr>
              <w:t>20</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0.25</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left"/>
              <w:rPr>
                <w:rFonts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kern w:val="0"/>
                <w:sz w:val="21"/>
                <w:szCs w:val="21"/>
                <w:highlight w:val="none"/>
              </w:rPr>
              <w:t>硅（Si，以干基计）</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r>
              <w:rPr>
                <w:rFonts w:hint="eastAsia" w:ascii="Times New Roman" w:hAnsi="Times New Roman"/>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kern w:val="0"/>
                <w:sz w:val="21"/>
                <w:szCs w:val="21"/>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w:t>
            </w:r>
            <w:r>
              <w:rPr>
                <w:rFonts w:hint="eastAsia" w:cs="Times New Roman"/>
                <w:i w:val="0"/>
                <w:iCs w:val="0"/>
                <w:color w:val="000000"/>
                <w:kern w:val="0"/>
                <w:sz w:val="21"/>
                <w:szCs w:val="21"/>
                <w:u w:val="none"/>
                <w:lang w:val="en-US" w:eastAsia="zh-CN" w:bidi="ar"/>
              </w:rPr>
              <w:t>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0.</w:t>
            </w:r>
            <w:r>
              <w:rPr>
                <w:rFonts w:hint="eastAsia" w:cs="Times New Roman"/>
                <w:i w:val="0"/>
                <w:iCs w:val="0"/>
                <w:color w:val="000000"/>
                <w:kern w:val="0"/>
                <w:sz w:val="21"/>
                <w:szCs w:val="21"/>
                <w:u w:val="none"/>
                <w:lang w:val="en-US" w:eastAsia="zh-CN" w:bidi="ar"/>
              </w:rPr>
              <w:t>02</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ascii="Times New Roman" w:hAnsi="Times New Roman"/>
                <w:color w:val="auto"/>
                <w:kern w:val="0"/>
                <w:sz w:val="21"/>
                <w:szCs w:val="21"/>
                <w:highlight w:val="none"/>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20" w:lineRule="exact"/>
              <w:jc w:val="left"/>
              <w:rPr>
                <w:rFonts w:cs="Calibri"/>
                <w:b/>
                <w:bCs/>
                <w:sz w:val="21"/>
                <w:szCs w:val="21"/>
              </w:rPr>
            </w:pPr>
            <w:r>
              <w:rPr>
                <w:rFonts w:ascii="Times New Roman" w:hAnsi="Times New Roman"/>
                <w:color w:val="auto"/>
                <w:kern w:val="0"/>
                <w:sz w:val="21"/>
                <w:szCs w:val="21"/>
                <w:highlight w:val="none"/>
              </w:rPr>
              <w:t>锌（Zn，以干基计）</w:t>
            </w:r>
            <w:r>
              <w:rPr>
                <w:rFonts w:ascii="Times New Roman" w:hAnsi="Times New Roman"/>
                <w:i/>
                <w:color w:val="auto"/>
                <w:sz w:val="21"/>
                <w:szCs w:val="21"/>
                <w:highlight w:val="none"/>
              </w:rPr>
              <w:t>w</w:t>
            </w:r>
            <w:r>
              <w:rPr>
                <w:rFonts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color w:val="auto"/>
                <w:kern w:val="0"/>
                <w:sz w:val="21"/>
                <w:szCs w:val="21"/>
                <w:highlight w:val="none"/>
                <w:lang w:val="en-US" w:eastAsia="zh-CN"/>
              </w:rPr>
              <w:t>协商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left"/>
              <w:rPr>
                <w:rFonts w:ascii="Times New Roman" w:hAnsi="Times New Roman" w:eastAsia="宋体" w:cs="宋体"/>
                <w:b/>
                <w:bCs/>
                <w:kern w:val="0"/>
                <w:sz w:val="21"/>
                <w:szCs w:val="21"/>
                <w:lang w:val="en-US" w:eastAsia="zh-CN" w:bidi="ar"/>
              </w:rPr>
            </w:pPr>
            <w:r>
              <w:rPr>
                <w:rFonts w:ascii="Times New Roman" w:hAnsi="Times New Roman"/>
                <w:color w:val="auto"/>
                <w:sz w:val="21"/>
                <w:szCs w:val="21"/>
                <w:highlight w:val="none"/>
              </w:rPr>
              <w:t>残余钠（Na）</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cs="Times New Roman"/>
                <w:b w:val="0"/>
                <w:bCs w:val="0"/>
                <w:i w:val="0"/>
                <w:iCs w:val="0"/>
                <w:color w:val="000000" w:themeColor="text1"/>
                <w:kern w:val="0"/>
                <w:sz w:val="21"/>
                <w:szCs w:val="21"/>
                <w:u w:val="none"/>
                <w:lang w:val="en-US" w:eastAsia="zh-CN" w:bidi="ar"/>
                <w14:textFill>
                  <w14:solidFill>
                    <w14:schemeClr w14:val="tx1"/>
                  </w14:solidFill>
                </w14:textFill>
              </w:rPr>
              <w:t>2.0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pPr>
            <w:r>
              <w:rPr>
                <w:rFonts w:hint="default" w:ascii="Times New Roman" w:hAnsi="Times New Roman" w:cs="Times New Roman"/>
                <w:b w:val="0"/>
                <w:bCs w:val="0"/>
                <w:i w:val="0"/>
                <w:iCs w:val="0"/>
                <w:color w:val="000000" w:themeColor="text1"/>
                <w:kern w:val="0"/>
                <w:sz w:val="21"/>
                <w:szCs w:val="21"/>
                <w:u w:val="none"/>
                <w:lang w:val="en-US" w:eastAsia="zh-CN" w:bidi="ar"/>
                <w14:textFill>
                  <w14:solidFill>
                    <w14:schemeClr w14:val="tx1"/>
                  </w14:solidFill>
                </w14:textFill>
              </w:rPr>
              <w:t>2.0</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b w:val="0"/>
                <w:bCs w:val="0"/>
                <w:i w:val="0"/>
                <w:iCs w:val="0"/>
                <w:color w:val="000000" w:themeColor="text1"/>
                <w:kern w:val="0"/>
                <w:sz w:val="21"/>
                <w:szCs w:val="21"/>
                <w:u w:val="none"/>
                <w:lang w:val="en-US" w:eastAsia="zh-CN" w:bidi="ar"/>
                <w14:textFill>
                  <w14:solidFill>
                    <w14:schemeClr w14:val="tx1"/>
                  </w14:solidFill>
                </w14:textFill>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2.0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left"/>
              <w:rPr>
                <w:rFonts w:ascii="Times New Roman" w:hAnsi="Times New Roman" w:eastAsia="宋体" w:cs="宋体"/>
                <w:b/>
                <w:bCs/>
                <w:kern w:val="0"/>
                <w:sz w:val="21"/>
                <w:szCs w:val="21"/>
                <w:lang w:val="en-US" w:eastAsia="zh-CN" w:bidi="ar"/>
              </w:rPr>
            </w:pPr>
            <w:r>
              <w:rPr>
                <w:rFonts w:ascii="Times New Roman" w:hAnsi="Times New Roman"/>
                <w:color w:val="auto"/>
                <w:sz w:val="21"/>
                <w:szCs w:val="21"/>
                <w:highlight w:val="none"/>
              </w:rPr>
              <w:t>磁性异物</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cs="Times New Roman"/>
                <w:i w:val="0"/>
                <w:iCs w:val="0"/>
                <w:color w:val="000000"/>
                <w:kern w:val="0"/>
                <w:sz w:val="21"/>
                <w:szCs w:val="21"/>
                <w:u w:val="none"/>
                <w:lang w:val="en-US" w:eastAsia="zh-CN" w:bidi="ar"/>
              </w:rPr>
              <w:t>≤0.0003</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iCs w:val="0"/>
                <w:color w:val="000000"/>
                <w:kern w:val="0"/>
                <w:sz w:val="21"/>
                <w:szCs w:val="21"/>
                <w:u w:val="none"/>
                <w:lang w:val="en-US" w:eastAsia="zh-CN" w:bidi="ar"/>
              </w:rPr>
              <w:t>≤0.0001</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0.0003</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0.0003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rFonts w:hint="default" w:cs="宋体"/>
                <w:b/>
                <w:bCs/>
                <w:color w:val="000000"/>
                <w:kern w:val="0"/>
                <w:sz w:val="21"/>
                <w:szCs w:val="21"/>
                <w:lang w:val="en-US" w:eastAsia="zh-CN" w:bidi="ar"/>
              </w:rPr>
            </w:pPr>
            <w:r>
              <w:rPr>
                <w:rFonts w:ascii="Times New Roman" w:hAnsi="Times New Roman"/>
                <w:color w:val="auto"/>
                <w:kern w:val="0"/>
                <w:sz w:val="21"/>
                <w:szCs w:val="21"/>
                <w:highlight w:val="none"/>
              </w:rPr>
              <w:t>水分</w:t>
            </w:r>
            <w:r>
              <w:rPr>
                <w:rFonts w:hint="eastAsia" w:ascii="Times New Roman" w:hAnsi="Times New Roman"/>
                <w:i/>
                <w:color w:val="auto"/>
                <w:sz w:val="21"/>
                <w:szCs w:val="21"/>
                <w:highlight w:val="none"/>
              </w:rPr>
              <w:t>w</w:t>
            </w:r>
            <w:r>
              <w:rPr>
                <w:rFonts w:hint="eastAsia" w:ascii="Times New Roman" w:hAnsi="Times New Roman"/>
                <w:iCs/>
                <w:color w:val="auto"/>
                <w:sz w:val="21"/>
                <w:szCs w:val="21"/>
                <w:highlight w:val="none"/>
              </w:rPr>
              <w:t>/</w:t>
            </w:r>
            <w:r>
              <w:rPr>
                <w:rFonts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0.023/0.016/0.0072</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sz w:val="21"/>
                <w:szCs w:val="21"/>
                <w:highlight w:val="none"/>
              </w:rPr>
              <w:t>0</w:t>
            </w:r>
            <w:r>
              <w:rPr>
                <w:rFonts w:ascii="Times New Roman" w:hAnsi="Times New Roman"/>
                <w:color w:val="auto"/>
                <w:sz w:val="21"/>
                <w:szCs w:val="21"/>
                <w:highlight w:val="none"/>
              </w:rPr>
              <w:t>.</w:t>
            </w:r>
            <w:r>
              <w:rPr>
                <w:rFonts w:hint="eastAsia" w:ascii="Times New Roman" w:hAnsi="Times New Roman"/>
                <w:color w:val="auto"/>
                <w:kern w:val="0"/>
                <w:sz w:val="21"/>
                <w:szCs w:val="21"/>
                <w:highlight w:val="none"/>
              </w:rPr>
              <w:t>2</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sz w:val="21"/>
                <w:szCs w:val="21"/>
                <w:highlight w:val="none"/>
              </w:rPr>
              <w:t>0</w:t>
            </w:r>
            <w:r>
              <w:rPr>
                <w:rFonts w:ascii="Times New Roman" w:hAnsi="Times New Roman"/>
                <w:color w:val="auto"/>
                <w:sz w:val="21"/>
                <w:szCs w:val="21"/>
                <w:highlight w:val="none"/>
              </w:rPr>
              <w:t>.</w:t>
            </w:r>
            <w:r>
              <w:rPr>
                <w:rFonts w:hint="eastAsia" w:ascii="Times New Roman" w:hAnsi="Times New Roman"/>
                <w:color w:val="auto"/>
                <w:kern w:val="0"/>
                <w:sz w:val="21"/>
                <w:szCs w:val="21"/>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left"/>
              <w:rPr>
                <w:rFonts w:ascii="Times New Roman" w:hAnsi="Times New Roman" w:eastAsia="宋体" w:cs="宋体"/>
                <w:b/>
                <w:bCs/>
                <w:kern w:val="0"/>
                <w:sz w:val="21"/>
                <w:szCs w:val="21"/>
                <w:lang w:val="en-US" w:eastAsia="zh-CN" w:bidi="ar-SA"/>
              </w:rPr>
            </w:pPr>
            <w:r>
              <w:rPr>
                <w:rFonts w:ascii="Times New Roman" w:hAnsi="Times New Roman"/>
                <w:color w:val="auto"/>
                <w:kern w:val="0"/>
                <w:sz w:val="21"/>
                <w:szCs w:val="21"/>
                <w:highlight w:val="none"/>
              </w:rPr>
              <w:t>pH</w:t>
            </w:r>
            <w:r>
              <w:rPr>
                <w:rFonts w:hint="eastAsia" w:ascii="Times New Roman" w:hAnsi="Times New Roman"/>
                <w:color w:val="auto"/>
                <w:kern w:val="0"/>
                <w:sz w:val="21"/>
                <w:szCs w:val="21"/>
                <w:highlight w:val="none"/>
              </w:rPr>
              <w:t>（100g/L上清液）</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13</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iCs w:val="0"/>
                <w:color w:val="000000"/>
                <w:kern w:val="0"/>
                <w:sz w:val="21"/>
                <w:szCs w:val="21"/>
                <w:u w:val="none"/>
                <w:lang w:val="en-US" w:eastAsia="zh-CN" w:bidi="ar"/>
              </w:rPr>
              <w:t>≤12.5</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13.0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s="宋体"/>
                <w:color w:val="auto"/>
                <w:kern w:val="0"/>
                <w:sz w:val="21"/>
                <w:szCs w:val="21"/>
                <w:highlight w:val="none"/>
              </w:rPr>
              <w:t>≤</w:t>
            </w:r>
            <w:r>
              <w:rPr>
                <w:rFonts w:hint="eastAsia" w:ascii="Times New Roman" w:hAnsi="Times New Roman"/>
                <w:color w:val="auto"/>
                <w:kern w:val="0"/>
                <w:sz w:val="21"/>
                <w:szCs w:val="21"/>
                <w:highlight w:val="none"/>
              </w:rPr>
              <w:t>13.0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left"/>
              <w:textAlignment w:val="center"/>
              <w:rPr>
                <w:rFonts w:ascii="Times New Roman" w:hAnsi="Times New Roman" w:eastAsia="宋体" w:cs="宋体"/>
                <w:b/>
                <w:bCs/>
                <w:kern w:val="0"/>
                <w:sz w:val="21"/>
                <w:szCs w:val="21"/>
                <w:lang w:val="en-US" w:eastAsia="zh-CN" w:bidi="ar-SA"/>
              </w:rPr>
            </w:pPr>
            <w:r>
              <w:rPr>
                <w:rFonts w:hint="eastAsia" w:ascii="Times New Roman" w:hAnsi="Times New Roman"/>
                <w:color w:val="auto"/>
                <w:kern w:val="0"/>
                <w:sz w:val="21"/>
                <w:szCs w:val="21"/>
                <w:highlight w:val="none"/>
              </w:rPr>
              <w:t>振实密度/（</w:t>
            </w:r>
            <w:r>
              <w:rPr>
                <w:rFonts w:ascii="Times New Roman" w:hAnsi="Times New Roman"/>
                <w:color w:val="auto"/>
                <w:kern w:val="0"/>
                <w:sz w:val="21"/>
                <w:szCs w:val="21"/>
                <w:highlight w:val="none"/>
              </w:rPr>
              <w:t>g/cm</w:t>
            </w:r>
            <w:r>
              <w:rPr>
                <w:rFonts w:ascii="Times New Roman" w:hAnsi="Times New Roman"/>
                <w:color w:val="auto"/>
                <w:kern w:val="0"/>
                <w:sz w:val="21"/>
                <w:szCs w:val="21"/>
                <w:highlight w:val="none"/>
                <w:vertAlign w:val="superscript"/>
              </w:rPr>
              <w:t>3</w:t>
            </w:r>
            <w:r>
              <w:rPr>
                <w:rFonts w:hint="eastAsia" w:ascii="Times New Roman" w:hAnsi="Times New Roman"/>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4</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cs="Times New Roman"/>
                <w:i w:val="0"/>
                <w:iCs w:val="0"/>
                <w:color w:val="000000"/>
                <w:kern w:val="0"/>
                <w:sz w:val="21"/>
                <w:szCs w:val="21"/>
                <w:u w:val="none"/>
                <w:lang w:val="en-US" w:eastAsia="zh-CN" w:bidi="ar"/>
              </w:rPr>
              <w:t>5</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1.87/2.15/2.12</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1.4</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773" w:type="dxa"/>
            <w:vMerge w:val="restart"/>
            <w:tcBorders>
              <w:top w:val="single" w:color="auto" w:sz="4" w:space="0"/>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ascii="Times New Roman" w:hAnsi="Times New Roman" w:eastAsia="宋体" w:cs="宋体"/>
                <w:b w:val="0"/>
                <w:bCs w:val="0"/>
                <w:kern w:val="0"/>
                <w:sz w:val="21"/>
                <w:szCs w:val="21"/>
                <w:lang w:val="en-US" w:eastAsia="zh-CN" w:bidi="ar-SA"/>
              </w:rPr>
            </w:pPr>
            <w:r>
              <w:rPr>
                <w:rFonts w:hint="eastAsia" w:ascii="Times New Roman" w:hAnsi="Times New Roman"/>
                <w:b w:val="0"/>
                <w:bCs w:val="0"/>
                <w:color w:val="auto"/>
                <w:kern w:val="0"/>
                <w:sz w:val="21"/>
                <w:szCs w:val="21"/>
                <w:highlight w:val="none"/>
              </w:rPr>
              <w:t>粒度分布/</w:t>
            </w:r>
            <w:r>
              <w:rPr>
                <w:rFonts w:ascii="Times New Roman" w:hAnsi="Times New Roman"/>
                <w:b w:val="0"/>
                <w:bCs w:val="0"/>
                <w:color w:val="auto"/>
                <w:kern w:val="0"/>
                <w:sz w:val="21"/>
                <w:szCs w:val="21"/>
                <w:highlight w:val="none"/>
              </w:rPr>
              <w:t>μm</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b w:val="0"/>
                <w:bCs w:val="0"/>
                <w:color w:val="000000"/>
                <w:kern w:val="0"/>
                <w:sz w:val="21"/>
                <w:szCs w:val="21"/>
                <w:lang w:bidi="ar"/>
              </w:rPr>
            </w:pPr>
            <w:r>
              <w:rPr>
                <w:b w:val="0"/>
                <w:bCs w:val="0"/>
                <w:color w:val="000000"/>
                <w:kern w:val="0"/>
                <w:sz w:val="21"/>
                <w:szCs w:val="21"/>
                <w:lang w:bidi="ar"/>
              </w:rPr>
              <w:t>D</w:t>
            </w:r>
            <w:r>
              <w:rPr>
                <w:b w:val="0"/>
                <w:bCs w:val="0"/>
                <w:color w:val="000000"/>
                <w:kern w:val="0"/>
                <w:sz w:val="21"/>
                <w:szCs w:val="21"/>
                <w:vertAlign w:val="subscript"/>
                <w:lang w:bidi="ar"/>
              </w:rPr>
              <w:t>10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olor w:val="auto"/>
                <w:kern w:val="0"/>
                <w:sz w:val="21"/>
                <w:szCs w:val="21"/>
                <w:highlight w:val="none"/>
              </w:rPr>
              <w:t>3.0～1</w:t>
            </w:r>
            <w:r>
              <w:rPr>
                <w:rFonts w:ascii="Times New Roman" w:hAnsi="Times New Roman"/>
                <w:color w:val="auto"/>
                <w:kern w:val="0"/>
                <w:sz w:val="21"/>
                <w:szCs w:val="21"/>
                <w:highlight w:val="none"/>
              </w:rPr>
              <w:t>5</w:t>
            </w:r>
            <w:r>
              <w:rPr>
                <w:rFonts w:hint="eastAsia" w:ascii="Times New Roman" w:hAnsi="Times New Roman"/>
                <w:color w:val="auto"/>
                <w:kern w:val="0"/>
                <w:sz w:val="21"/>
                <w:szCs w:val="21"/>
                <w:highlight w:val="none"/>
              </w:rPr>
              <w:t>.0</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773" w:type="dxa"/>
            <w:vMerge w:val="continue"/>
            <w:tcBorders>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ascii="Times New Roman" w:hAnsi="Times New Roman" w:eastAsia="宋体" w:cs="Calibri"/>
                <w:b w:val="0"/>
                <w:bCs w:val="0"/>
                <w:kern w:val="2"/>
                <w:sz w:val="21"/>
                <w:szCs w:val="21"/>
                <w:lang w:val="en-US" w:eastAsia="zh-CN" w:bidi="ar-SA"/>
              </w:rPr>
            </w:pPr>
          </w:p>
        </w:tc>
        <w:tc>
          <w:tcPr>
            <w:tcW w:w="1533" w:type="dxa"/>
            <w:tcBorders>
              <w:top w:val="single" w:color="auto" w:sz="4" w:space="0"/>
              <w:left w:val="single" w:color="auto" w:sz="4"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b w:val="0"/>
                <w:bCs w:val="0"/>
                <w:color w:val="000000"/>
                <w:kern w:val="0"/>
                <w:sz w:val="21"/>
                <w:szCs w:val="21"/>
                <w:lang w:bidi="ar"/>
              </w:rPr>
            </w:pPr>
            <w:r>
              <w:rPr>
                <w:b w:val="0"/>
                <w:bCs w:val="0"/>
                <w:color w:val="000000"/>
                <w:kern w:val="0"/>
                <w:sz w:val="21"/>
                <w:szCs w:val="21"/>
                <w:lang w:bidi="ar"/>
              </w:rPr>
              <w:t>D</w:t>
            </w:r>
            <w:r>
              <w:rPr>
                <w:b w:val="0"/>
                <w:bCs w:val="0"/>
                <w:color w:val="000000"/>
                <w:kern w:val="0"/>
                <w:sz w:val="21"/>
                <w:szCs w:val="21"/>
                <w:vertAlign w:val="subscript"/>
                <w:lang w:bidi="ar"/>
              </w:rPr>
              <w:t>50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cs="Times New Roman"/>
                <w:i w:val="0"/>
                <w:iCs w:val="0"/>
                <w:color w:val="000000"/>
                <w:kern w:val="0"/>
                <w:sz w:val="21"/>
                <w:szCs w:val="21"/>
                <w:u w:val="none"/>
                <w:lang w:val="en-US" w:eastAsia="zh-CN" w:bidi="ar"/>
              </w:rPr>
              <w:t>15</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cs="Times New Roman"/>
                <w:i w:val="0"/>
                <w:iCs w:val="0"/>
                <w:color w:val="000000"/>
                <w:kern w:val="0"/>
                <w:sz w:val="21"/>
                <w:szCs w:val="21"/>
                <w:u w:val="none"/>
                <w:lang w:val="en-US" w:eastAsia="zh-CN" w:bidi="ar"/>
              </w:rPr>
              <w:t>3</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cs="Times New Roman"/>
                <w:i w:val="0"/>
                <w:iCs w:val="0"/>
                <w:color w:val="000000"/>
                <w:kern w:val="0"/>
                <w:sz w:val="21"/>
                <w:szCs w:val="21"/>
                <w:u w:val="none"/>
                <w:lang w:val="en-US" w:eastAsia="zh-CN" w:bidi="ar"/>
              </w:rPr>
              <w:t>15</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kern w:val="0"/>
                <w:sz w:val="21"/>
                <w:szCs w:val="21"/>
                <w:highlight w:val="none"/>
              </w:rPr>
              <w:t>3.0～1</w:t>
            </w:r>
            <w:r>
              <w:rPr>
                <w:rFonts w:ascii="Times New Roman" w:hAnsi="Times New Roman"/>
                <w:color w:val="auto"/>
                <w:kern w:val="0"/>
                <w:sz w:val="21"/>
                <w:szCs w:val="21"/>
                <w:highlight w:val="none"/>
              </w:rPr>
              <w:t>5</w:t>
            </w:r>
            <w:r>
              <w:rPr>
                <w:rFonts w:hint="eastAsia" w:ascii="Times New Roman" w:hAnsi="Times New Roman"/>
                <w:color w:val="auto"/>
                <w:kern w:val="0"/>
                <w:sz w:val="21"/>
                <w:szCs w:val="21"/>
                <w:highlight w:val="none"/>
              </w:rPr>
              <w:t>.0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color w:val="auto"/>
                <w:kern w:val="0"/>
                <w:sz w:val="21"/>
                <w:szCs w:val="21"/>
                <w:highlight w:val="none"/>
              </w:rPr>
              <w:t>3.0～1</w:t>
            </w:r>
            <w:r>
              <w:rPr>
                <w:rFonts w:ascii="Times New Roman" w:hAnsi="Times New Roman"/>
                <w:color w:val="auto"/>
                <w:kern w:val="0"/>
                <w:sz w:val="21"/>
                <w:szCs w:val="21"/>
                <w:highlight w:val="none"/>
              </w:rPr>
              <w:t>5</w:t>
            </w:r>
            <w:r>
              <w:rPr>
                <w:rFonts w:hint="eastAsia" w:ascii="Times New Roman" w:hAnsi="Times New Roman"/>
                <w:color w:val="auto"/>
                <w:kern w:val="0"/>
                <w:sz w:val="21"/>
                <w:szCs w:val="21"/>
                <w:highlight w:val="none"/>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773" w:type="dxa"/>
            <w:vMerge w:val="continue"/>
            <w:tcBorders>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ascii="Times New Roman" w:hAnsi="Times New Roman" w:eastAsia="宋体" w:cs="Calibri"/>
                <w:b w:val="0"/>
                <w:bCs w:val="0"/>
                <w:kern w:val="2"/>
                <w:sz w:val="21"/>
                <w:szCs w:val="21"/>
                <w:lang w:val="en-US" w:eastAsia="zh-CN" w:bidi="ar-SA"/>
              </w:rPr>
            </w:pPr>
          </w:p>
        </w:tc>
        <w:tc>
          <w:tcPr>
            <w:tcW w:w="1533" w:type="dxa"/>
            <w:tcBorders>
              <w:top w:val="single" w:color="auto" w:sz="4" w:space="0"/>
              <w:left w:val="single" w:color="auto" w:sz="4"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b w:val="0"/>
                <w:bCs w:val="0"/>
                <w:color w:val="000000"/>
                <w:kern w:val="0"/>
                <w:sz w:val="21"/>
                <w:szCs w:val="21"/>
                <w:lang w:bidi="ar"/>
              </w:rPr>
            </w:pPr>
            <w:r>
              <w:rPr>
                <w:b w:val="0"/>
                <w:bCs w:val="0"/>
                <w:color w:val="000000"/>
                <w:kern w:val="0"/>
                <w:sz w:val="21"/>
                <w:szCs w:val="21"/>
                <w:lang w:bidi="ar"/>
              </w:rPr>
              <w:t>D</w:t>
            </w:r>
            <w:r>
              <w:rPr>
                <w:b w:val="0"/>
                <w:bCs w:val="0"/>
                <w:color w:val="000000"/>
                <w:kern w:val="0"/>
                <w:sz w:val="21"/>
                <w:szCs w:val="21"/>
                <w:vertAlign w:val="subscript"/>
                <w:lang w:bidi="ar"/>
              </w:rPr>
              <w:t>90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773" w:type="dxa"/>
            <w:vMerge w:val="continue"/>
            <w:tcBorders>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ascii="Times New Roman" w:hAnsi="Times New Roman" w:eastAsia="宋体" w:cs="Calibri"/>
                <w:b w:val="0"/>
                <w:bCs w:val="0"/>
                <w:kern w:val="2"/>
                <w:sz w:val="21"/>
                <w:szCs w:val="21"/>
                <w:lang w:val="en-US" w:eastAsia="zh-CN" w:bidi="ar-SA"/>
              </w:rPr>
            </w:pPr>
          </w:p>
        </w:tc>
        <w:tc>
          <w:tcPr>
            <w:tcW w:w="1533" w:type="dxa"/>
            <w:tcBorders>
              <w:top w:val="single" w:color="auto" w:sz="4" w:space="0"/>
              <w:left w:val="single" w:color="auto" w:sz="4"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center"/>
              <w:textAlignment w:val="center"/>
              <w:rPr>
                <w:b w:val="0"/>
                <w:bCs w:val="0"/>
                <w:color w:val="000000"/>
                <w:kern w:val="0"/>
                <w:sz w:val="21"/>
                <w:szCs w:val="21"/>
                <w:lang w:bidi="ar"/>
              </w:rPr>
            </w:pPr>
            <w:r>
              <w:rPr>
                <w:b w:val="0"/>
                <w:bCs w:val="0"/>
                <w:color w:val="000000"/>
                <w:kern w:val="0"/>
                <w:sz w:val="21"/>
                <w:szCs w:val="21"/>
                <w:lang w:bidi="ar"/>
              </w:rPr>
              <w:t>D</w:t>
            </w:r>
            <w:r>
              <w:rPr>
                <w:b w:val="0"/>
                <w:bCs w:val="0"/>
                <w:color w:val="000000"/>
                <w:kern w:val="0"/>
                <w:sz w:val="21"/>
                <w:szCs w:val="21"/>
                <w:vertAlign w:val="subscript"/>
                <w:lang w:bidi="ar"/>
              </w:rPr>
              <w:t>100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left"/>
              <w:textAlignment w:val="center"/>
              <w:rPr>
                <w:rFonts w:ascii="Times New Roman" w:hAnsi="Times New Roman" w:eastAsia="宋体" w:cs="Calibri"/>
                <w:b w:val="0"/>
                <w:bCs w:val="0"/>
                <w:kern w:val="2"/>
                <w:sz w:val="21"/>
                <w:szCs w:val="21"/>
                <w:lang w:val="en-US" w:eastAsia="zh-CN" w:bidi="ar-SA"/>
              </w:rPr>
            </w:pPr>
            <w:r>
              <w:rPr>
                <w:rFonts w:hint="eastAsia" w:ascii="Times New Roman" w:hAnsi="Times New Roman"/>
                <w:b w:val="0"/>
                <w:bCs w:val="0"/>
                <w:color w:val="auto"/>
                <w:kern w:val="0"/>
                <w:sz w:val="21"/>
                <w:szCs w:val="21"/>
                <w:highlight w:val="none"/>
              </w:rPr>
              <w:t>比表面积/（</w:t>
            </w:r>
            <w:r>
              <w:rPr>
                <w:rFonts w:ascii="Times New Roman" w:hAnsi="Times New Roman"/>
                <w:b w:val="0"/>
                <w:bCs w:val="0"/>
                <w:color w:val="auto"/>
                <w:kern w:val="0"/>
                <w:sz w:val="21"/>
                <w:szCs w:val="21"/>
                <w:highlight w:val="none"/>
              </w:rPr>
              <w:t>m</w:t>
            </w:r>
            <w:r>
              <w:rPr>
                <w:rFonts w:ascii="Times New Roman" w:hAnsi="Times New Roman"/>
                <w:b w:val="0"/>
                <w:bCs w:val="0"/>
                <w:color w:val="auto"/>
                <w:kern w:val="0"/>
                <w:sz w:val="21"/>
                <w:szCs w:val="21"/>
                <w:highlight w:val="none"/>
                <w:vertAlign w:val="superscript"/>
              </w:rPr>
              <w:t>2</w:t>
            </w:r>
            <w:r>
              <w:rPr>
                <w:rFonts w:ascii="Times New Roman" w:hAnsi="Times New Roman"/>
                <w:b w:val="0"/>
                <w:bCs w:val="0"/>
                <w:color w:val="auto"/>
                <w:kern w:val="0"/>
                <w:sz w:val="21"/>
                <w:szCs w:val="21"/>
                <w:highlight w:val="none"/>
              </w:rPr>
              <w:t>/g</w:t>
            </w:r>
            <w:r>
              <w:rPr>
                <w:rFonts w:hint="eastAsia" w:ascii="Times New Roman" w:hAnsi="Times New Roman"/>
                <w:b w:val="0"/>
                <w:bCs w:val="0"/>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kern w:val="0"/>
                <w:sz w:val="21"/>
                <w:szCs w:val="21"/>
                <w:lang w:val="en-US" w:eastAsia="zh-CN" w:bidi="ar-SA"/>
              </w:rPr>
            </w:pPr>
            <w:r>
              <w:rPr>
                <w:rFonts w:hint="default" w:ascii="Times New Roman" w:hAnsi="Times New Roman" w:cs="Times New Roman"/>
                <w:i w:val="0"/>
                <w:iCs w:val="0"/>
                <w:color w:val="000000"/>
                <w:kern w:val="0"/>
                <w:sz w:val="21"/>
                <w:szCs w:val="21"/>
                <w:u w:val="none"/>
                <w:lang w:val="en-US" w:eastAsia="zh-CN" w:bidi="ar"/>
              </w:rPr>
              <w:t>0.1~1.0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cs="Times New Roman"/>
                <w:i w:val="0"/>
                <w:iCs w:val="0"/>
                <w:color w:val="000000"/>
                <w:kern w:val="0"/>
                <w:sz w:val="21"/>
                <w:szCs w:val="21"/>
                <w:u w:val="none"/>
                <w:lang w:val="en-US" w:eastAsia="zh-CN" w:bidi="ar"/>
              </w:rPr>
              <w:t>0.2~1.0</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0.39/0.32/0.31</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olor w:val="auto"/>
                <w:kern w:val="0"/>
                <w:sz w:val="21"/>
                <w:szCs w:val="21"/>
                <w:highlight w:val="none"/>
              </w:rPr>
              <w:t>0.1～1.0</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color w:val="auto"/>
                <w:kern w:val="0"/>
                <w:sz w:val="21"/>
                <w:szCs w:val="21"/>
                <w:highlight w:val="none"/>
              </w:rPr>
              <w:t>0.1～1.0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left"/>
              <w:textAlignment w:val="center"/>
              <w:rPr>
                <w:rFonts w:hint="default" w:eastAsia="宋体"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压实密度</w:t>
            </w:r>
            <w:r>
              <w:rPr>
                <w:rFonts w:hint="eastAsia" w:ascii="Times New Roman" w:hAnsi="Times New Roman"/>
                <w:b w:val="0"/>
                <w:bCs w:val="0"/>
                <w:color w:val="auto"/>
                <w:kern w:val="0"/>
                <w:sz w:val="21"/>
                <w:szCs w:val="21"/>
                <w:highlight w:val="none"/>
              </w:rPr>
              <w:t>/（</w:t>
            </w:r>
            <w:r>
              <w:rPr>
                <w:rFonts w:ascii="Times New Roman" w:hAnsi="Times New Roman"/>
                <w:b w:val="0"/>
                <w:bCs w:val="0"/>
                <w:color w:val="auto"/>
                <w:kern w:val="0"/>
                <w:sz w:val="21"/>
                <w:szCs w:val="21"/>
                <w:highlight w:val="none"/>
              </w:rPr>
              <w:t>g/cm</w:t>
            </w:r>
            <w:r>
              <w:rPr>
                <w:rFonts w:ascii="Times New Roman" w:hAnsi="Times New Roman"/>
                <w:b w:val="0"/>
                <w:bCs w:val="0"/>
                <w:color w:val="auto"/>
                <w:kern w:val="0"/>
                <w:sz w:val="21"/>
                <w:szCs w:val="21"/>
                <w:highlight w:val="none"/>
                <w:vertAlign w:val="superscript"/>
              </w:rPr>
              <w:t>3</w:t>
            </w:r>
            <w:r>
              <w:rPr>
                <w:rFonts w:hint="eastAsia" w:ascii="Times New Roman" w:hAnsi="Times New Roman"/>
                <w:b w:val="0"/>
                <w:bCs w:val="0"/>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3.1/3.3/3.3</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left"/>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首次放电比容量</w:t>
            </w:r>
            <w:r>
              <w:rPr>
                <w:rFonts w:hint="eastAsia" w:ascii="Times New Roman" w:hAnsi="Times New Roman"/>
                <w:b w:val="0"/>
                <w:bCs w:val="0"/>
                <w:color w:val="auto"/>
                <w:kern w:val="0"/>
                <w:sz w:val="21"/>
                <w:szCs w:val="21"/>
                <w:highlight w:val="none"/>
              </w:rPr>
              <w:t>/（</w:t>
            </w:r>
            <w:r>
              <w:rPr>
                <w:rFonts w:hint="eastAsia" w:ascii="Times New Roman"/>
                <w:b w:val="0"/>
                <w:bCs w:val="0"/>
                <w:color w:val="auto"/>
                <w:sz w:val="21"/>
                <w:szCs w:val="21"/>
                <w:highlight w:val="none"/>
              </w:rPr>
              <w:t>mA</w:t>
            </w:r>
            <w:r>
              <w:rPr>
                <w:rFonts w:ascii="Times New Roman"/>
                <w:b w:val="0"/>
                <w:bCs w:val="0"/>
                <w:color w:val="auto"/>
                <w:sz w:val="21"/>
                <w:szCs w:val="21"/>
                <w:highlight w:val="none"/>
              </w:rPr>
              <w:t>‧</w:t>
            </w:r>
            <w:r>
              <w:rPr>
                <w:rFonts w:hint="eastAsia" w:ascii="Times New Roman"/>
                <w:b w:val="0"/>
                <w:bCs w:val="0"/>
                <w:color w:val="auto"/>
                <w:sz w:val="21"/>
                <w:szCs w:val="21"/>
                <w:highlight w:val="none"/>
              </w:rPr>
              <w:t>h</w:t>
            </w:r>
            <w:r>
              <w:rPr>
                <w:rFonts w:ascii="Times New Roman"/>
                <w:b w:val="0"/>
                <w:bCs w:val="0"/>
                <w:color w:val="auto"/>
                <w:sz w:val="21"/>
                <w:szCs w:val="21"/>
                <w:highlight w:val="none"/>
              </w:rPr>
              <w:t>/</w:t>
            </w:r>
            <w:r>
              <w:rPr>
                <w:rFonts w:hint="eastAsia" w:ascii="Times New Roman"/>
                <w:b w:val="0"/>
                <w:bCs w:val="0"/>
                <w:color w:val="auto"/>
                <w:sz w:val="21"/>
                <w:szCs w:val="21"/>
                <w:highlight w:val="none"/>
              </w:rPr>
              <w:t>g</w:t>
            </w:r>
            <w:r>
              <w:rPr>
                <w:rFonts w:hint="eastAsia" w:ascii="Times New Roman" w:hAnsi="Times New Roman"/>
                <w:b w:val="0"/>
                <w:bCs w:val="0"/>
                <w:color w:val="auto"/>
                <w:kern w:val="0"/>
                <w:sz w:val="21"/>
                <w:szCs w:val="21"/>
                <w:highlight w:val="none"/>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112/131/141</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w:t>
            </w:r>
            <w:r>
              <w:rPr>
                <w:rFonts w:ascii="Times New Roman" w:hAnsi="Times New Roman"/>
                <w:color w:val="auto"/>
                <w:kern w:val="0"/>
                <w:sz w:val="21"/>
                <w:szCs w:val="21"/>
                <w:highlight w:val="none"/>
              </w:rPr>
              <w:t xml:space="preserve">00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w:t>
            </w:r>
            <w:r>
              <w:rPr>
                <w:rFonts w:ascii="Times New Roman" w:hAnsi="Times New Roman"/>
                <w:color w:val="auto"/>
                <w:kern w:val="0"/>
                <w:sz w:val="21"/>
                <w:szCs w:val="21"/>
                <w:highlight w:val="none"/>
              </w:rPr>
              <w:t xml:space="preserve">00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left"/>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首次放电效率</w:t>
            </w:r>
            <w:r>
              <w:rPr>
                <w:rFonts w:hint="eastAsia" w:ascii="Times New Roman" w:hAnsi="Times New Roman"/>
                <w:b w:val="0"/>
                <w:bCs w:val="0"/>
                <w:color w:val="auto"/>
                <w:kern w:val="0"/>
                <w:sz w:val="21"/>
                <w:szCs w:val="21"/>
                <w:highlight w:val="none"/>
              </w:rPr>
              <w:t>/</w:t>
            </w:r>
            <w:r>
              <w:rPr>
                <w:rFonts w:ascii="Times New Roman" w:hAnsi="Times New Roman"/>
                <w:b w:val="0"/>
                <w:bCs w:val="0"/>
                <w:color w:val="auto"/>
                <w:kern w:val="0"/>
                <w:sz w:val="21"/>
                <w:szCs w:val="21"/>
                <w:highlight w:val="none"/>
              </w:rPr>
              <w:t>%</w:t>
            </w:r>
            <w:r>
              <w:rPr>
                <w:rFonts w:hint="eastAsia" w:ascii="Times New Roman" w:hAnsi="Times New Roman"/>
                <w:b w:val="0"/>
                <w:bCs w:val="0"/>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94.16/91.8/92.4</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ascii="Times New Roman" w:hAnsi="Times New Roman"/>
                <w:color w:val="auto"/>
                <w:kern w:val="0"/>
                <w:sz w:val="21"/>
                <w:szCs w:val="21"/>
                <w:highlight w:val="none"/>
              </w:rPr>
              <w:t xml:space="preserve">80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ascii="Times New Roman" w:hAnsi="Times New Roman"/>
                <w:color w:val="auto"/>
                <w:kern w:val="0"/>
                <w:sz w:val="21"/>
                <w:szCs w:val="21"/>
                <w:highlight w:val="none"/>
              </w:rPr>
              <w:t xml:space="preserve">80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gridSpan w:val="2"/>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20" w:lineRule="exact"/>
              <w:jc w:val="both"/>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循环寿命/次</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024"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20" w:lineRule="exact"/>
              <w:jc w:val="center"/>
              <w:textAlignment w:val="center"/>
              <w:rPr>
                <w:rFonts w:hint="eastAsia"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w:t>
            </w:r>
          </w:p>
        </w:tc>
        <w:tc>
          <w:tcPr>
            <w:tcW w:w="2278"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100</w:t>
            </w:r>
            <w:r>
              <w:rPr>
                <w:rFonts w:ascii="Times New Roman" w:hAnsi="Times New Roman"/>
                <w:color w:val="auto"/>
                <w:kern w:val="0"/>
                <w:sz w:val="21"/>
                <w:szCs w:val="21"/>
                <w:highlight w:val="none"/>
              </w:rPr>
              <w:t xml:space="preserve"> </w:t>
            </w:r>
          </w:p>
        </w:tc>
        <w:tc>
          <w:tcPr>
            <w:tcW w:w="2151"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2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宋体" w:hAnsi="宋体"/>
                <w:color w:val="auto"/>
                <w:kern w:val="0"/>
                <w:sz w:val="21"/>
                <w:szCs w:val="21"/>
                <w:highlight w:val="none"/>
              </w:rPr>
              <w:t>≥</w:t>
            </w:r>
            <w:r>
              <w:rPr>
                <w:rFonts w:hint="eastAsia" w:ascii="Times New Roman" w:hAnsi="Times New Roman"/>
                <w:color w:val="auto"/>
                <w:kern w:val="0"/>
                <w:sz w:val="21"/>
                <w:szCs w:val="21"/>
                <w:highlight w:val="none"/>
              </w:rPr>
              <w:t>100</w:t>
            </w:r>
            <w:r>
              <w:rPr>
                <w:rFonts w:ascii="Times New Roman" w:hAnsi="Times New Roman"/>
                <w:color w:val="auto"/>
                <w:kern w:val="0"/>
                <w:sz w:val="21"/>
                <w:szCs w:val="21"/>
                <w:highlight w:val="none"/>
              </w:rPr>
              <w:t xml:space="preserve"> </w:t>
            </w:r>
          </w:p>
        </w:tc>
      </w:tr>
    </w:tbl>
    <w:p>
      <w:pPr>
        <w:keepNext w:val="0"/>
        <w:keepLines w:val="0"/>
        <w:pageBreakBefore w:val="0"/>
        <w:kinsoku/>
        <w:wordWrap/>
        <w:overflowPunct/>
        <w:topLinePunct w:val="0"/>
        <w:bidi w:val="0"/>
        <w:adjustRightInd/>
        <w:spacing w:line="360" w:lineRule="exact"/>
        <w:jc w:val="left"/>
        <w:rPr>
          <w:rFonts w:hint="eastAsia"/>
          <w:szCs w:val="21"/>
          <w:lang w:val="en-US" w:eastAsia="zh-CN"/>
        </w:rPr>
        <w:sectPr>
          <w:headerReference r:id="rId9" w:type="default"/>
          <w:footerReference r:id="rId10" w:type="default"/>
          <w:pgSz w:w="16838" w:h="11906" w:orient="landscape"/>
          <w:pgMar w:top="1083" w:right="1440" w:bottom="1083" w:left="1440" w:header="851" w:footer="992" w:gutter="0"/>
          <w:pgNumType w:fmt="decimal"/>
          <w:cols w:space="0" w:num="1"/>
          <w:rtlGutter w:val="0"/>
          <w:docGrid w:type="lines" w:linePitch="314" w:charSpace="0"/>
        </w:sectPr>
      </w:pPr>
    </w:p>
    <w:p>
      <w:pPr>
        <w:keepNext w:val="0"/>
        <w:keepLines w:val="0"/>
        <w:pageBreakBefore w:val="0"/>
        <w:kinsoku/>
        <w:wordWrap/>
        <w:overflowPunct/>
        <w:topLinePunct w:val="0"/>
        <w:bidi w:val="0"/>
        <w:adjustRightInd/>
        <w:spacing w:line="360" w:lineRule="exact"/>
        <w:jc w:val="lef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附表2                          国内标准试验方法对比表</w:t>
      </w:r>
    </w:p>
    <w:tbl>
      <w:tblPr>
        <w:tblStyle w:val="11"/>
        <w:tblW w:w="974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306"/>
        <w:gridCol w:w="3219"/>
        <w:gridCol w:w="3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blHeader/>
        </w:trPr>
        <w:tc>
          <w:tcPr>
            <w:tcW w:w="3306" w:type="dxa"/>
            <w:tcBorders>
              <w:top w:val="single" w:color="auto" w:sz="8"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cs="宋体"/>
                <w:b/>
                <w:bCs/>
                <w:kern w:val="0"/>
                <w:sz w:val="21"/>
                <w:szCs w:val="21"/>
              </w:rPr>
            </w:pPr>
            <w:r>
              <w:rPr>
                <w:rFonts w:hint="eastAsia" w:cs="宋体"/>
                <w:b/>
                <w:bCs/>
                <w:kern w:val="0"/>
                <w:sz w:val="21"/>
                <w:szCs w:val="21"/>
                <w:lang w:val="en-US" w:eastAsia="zh-CN" w:bidi="ar"/>
              </w:rPr>
              <w:t>项目</w:t>
            </w:r>
            <w:r>
              <w:rPr>
                <w:rFonts w:hint="eastAsia" w:cs="宋体"/>
                <w:b/>
                <w:bCs/>
                <w:kern w:val="0"/>
                <w:sz w:val="21"/>
                <w:szCs w:val="21"/>
                <w:lang w:bidi="ar"/>
              </w:rPr>
              <w:t>化学成分（wt.%）</w:t>
            </w:r>
          </w:p>
        </w:tc>
        <w:tc>
          <w:tcPr>
            <w:tcW w:w="3219"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hint="eastAsia" w:cs="宋体"/>
                <w:b/>
                <w:bCs/>
                <w:kern w:val="0"/>
                <w:sz w:val="21"/>
                <w:szCs w:val="21"/>
                <w:lang w:val="en-US" w:eastAsia="zh-CN"/>
              </w:rPr>
            </w:pPr>
            <w:r>
              <w:rPr>
                <w:rFonts w:hint="eastAsia" w:cs="宋体"/>
                <w:b/>
                <w:bCs/>
                <w:kern w:val="0"/>
                <w:sz w:val="21"/>
                <w:szCs w:val="21"/>
                <w:lang w:val="en-US" w:eastAsia="zh-CN"/>
              </w:rPr>
              <w:t>中国有色金属工业协会</w:t>
            </w:r>
          </w:p>
          <w:p>
            <w:pPr>
              <w:keepNext w:val="0"/>
              <w:keepLines w:val="0"/>
              <w:pageBreakBefore w:val="0"/>
              <w:widowControl/>
              <w:kinsoku/>
              <w:wordWrap/>
              <w:overflowPunct/>
              <w:topLinePunct w:val="0"/>
              <w:autoSpaceDE w:val="0"/>
              <w:autoSpaceDN w:val="0"/>
              <w:bidi w:val="0"/>
              <w:adjustRightInd/>
              <w:spacing w:line="360" w:lineRule="exact"/>
              <w:jc w:val="center"/>
              <w:rPr>
                <w:rFonts w:hint="default" w:cs="宋体"/>
                <w:b/>
                <w:bCs/>
                <w:kern w:val="0"/>
                <w:sz w:val="21"/>
                <w:szCs w:val="21"/>
                <w:lang w:val="en-US" w:eastAsia="zh-CN"/>
              </w:rPr>
            </w:pPr>
            <w:r>
              <w:rPr>
                <w:rFonts w:hint="eastAsia" w:cs="宋体"/>
                <w:b/>
                <w:bCs/>
                <w:kern w:val="0"/>
                <w:sz w:val="21"/>
                <w:szCs w:val="21"/>
                <w:lang w:val="en-US" w:eastAsia="zh-CN"/>
              </w:rPr>
              <w:t>团体标准</w:t>
            </w:r>
          </w:p>
        </w:tc>
        <w:tc>
          <w:tcPr>
            <w:tcW w:w="3219" w:type="dxa"/>
            <w:tcBorders>
              <w:top w:val="single" w:color="auto" w:sz="8" w:space="0"/>
              <w:left w:val="single" w:color="auto" w:sz="4" w:space="0"/>
              <w:bottom w:val="single" w:color="auto" w:sz="8"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pacing w:line="360" w:lineRule="exact"/>
              <w:jc w:val="center"/>
              <w:rPr>
                <w:rFonts w:hint="default" w:cs="宋体"/>
                <w:b/>
                <w:bCs/>
                <w:kern w:val="0"/>
                <w:sz w:val="21"/>
                <w:szCs w:val="21"/>
                <w:lang w:val="en-US" w:eastAsia="zh-CN"/>
              </w:rPr>
            </w:pPr>
            <w:r>
              <w:rPr>
                <w:rFonts w:hint="eastAsia" w:cs="宋体"/>
                <w:b/>
                <w:bCs/>
                <w:kern w:val="0"/>
                <w:sz w:val="21"/>
                <w:szCs w:val="21"/>
                <w:lang w:val="en-US" w:eastAsia="zh-CN"/>
              </w:rPr>
              <w:t>本次制定标准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306" w:type="dxa"/>
            <w:tcBorders>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eastAsia="宋体"/>
                <w:b/>
                <w:bCs/>
                <w:i w:val="0"/>
                <w:iCs w:val="0"/>
                <w:kern w:val="0"/>
                <w:sz w:val="21"/>
                <w:szCs w:val="21"/>
                <w:lang w:val="en-US" w:eastAsia="zh-CN"/>
              </w:rPr>
            </w:pPr>
            <w:r>
              <w:rPr>
                <w:rFonts w:hint="eastAsia" w:ascii="Times New Roman" w:hAnsi="Times New Roman"/>
                <w:i w:val="0"/>
                <w:iCs w:val="0"/>
                <w:color w:val="auto"/>
                <w:kern w:val="0"/>
                <w:sz w:val="21"/>
                <w:szCs w:val="21"/>
                <w:highlight w:val="none"/>
              </w:rPr>
              <w:t>钠（N</w:t>
            </w:r>
            <w:r>
              <w:rPr>
                <w:rFonts w:ascii="Times New Roman" w:hAnsi="Times New Roman"/>
                <w:i w:val="0"/>
                <w:iCs w:val="0"/>
                <w:color w:val="auto"/>
                <w:kern w:val="0"/>
                <w:sz w:val="21"/>
                <w:szCs w:val="21"/>
                <w:highlight w:val="none"/>
              </w:rPr>
              <w:t>a</w:t>
            </w:r>
            <w:r>
              <w:rPr>
                <w:rFonts w:hint="eastAsia" w:ascii="Times New Roman" w:hAnsi="Times New Roman"/>
                <w:i w:val="0"/>
                <w:iCs w:val="0"/>
                <w:color w:val="auto"/>
                <w:kern w:val="0"/>
                <w:sz w:val="21"/>
                <w:szCs w:val="21"/>
                <w:highlight w:val="none"/>
              </w:rPr>
              <w:t>，以干基计）</w:t>
            </w:r>
            <w:r>
              <w:rPr>
                <w:rFonts w:hint="eastAsia"/>
                <w:i w:val="0"/>
                <w:iCs w:val="0"/>
                <w:color w:val="auto"/>
                <w:sz w:val="21"/>
                <w:szCs w:val="21"/>
                <w:highlight w:val="none"/>
                <w:lang w:eastAsia="zh-CN"/>
              </w:rPr>
              <w:t>的测定</w:t>
            </w:r>
          </w:p>
        </w:tc>
        <w:tc>
          <w:tcPr>
            <w:tcW w:w="3219" w:type="dxa"/>
            <w:vMerge w:val="restart"/>
            <w:tcBorders>
              <w:top w:val="single" w:color="auto" w:sz="8" w:space="0"/>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eastAsia"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ICP-OES法</w:t>
            </w:r>
          </w:p>
        </w:tc>
        <w:tc>
          <w:tcPr>
            <w:tcW w:w="3219" w:type="dxa"/>
            <w:vMerge w:val="restart"/>
            <w:tcBorders>
              <w:top w:val="single" w:color="auto" w:sz="8" w:space="0"/>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ICP-OES法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eastAsia="宋体"/>
                <w:b/>
                <w:bCs/>
                <w:i w:val="0"/>
                <w:iCs w:val="0"/>
                <w:kern w:val="0"/>
                <w:sz w:val="21"/>
                <w:szCs w:val="21"/>
                <w:lang w:eastAsia="zh-CN"/>
              </w:rPr>
            </w:pPr>
            <w:r>
              <w:rPr>
                <w:rFonts w:hint="eastAsia" w:ascii="Times New Roman" w:hAnsi="Times New Roman"/>
                <w:i w:val="0"/>
                <w:iCs w:val="0"/>
                <w:color w:val="auto"/>
                <w:kern w:val="0"/>
                <w:sz w:val="21"/>
                <w:szCs w:val="21"/>
                <w:highlight w:val="none"/>
              </w:rPr>
              <w:t>铜铁锰（</w:t>
            </w:r>
            <w:r>
              <w:rPr>
                <w:rFonts w:ascii="Times New Roman" w:hAnsi="Times New Roman"/>
                <w:i w:val="0"/>
                <w:iCs w:val="0"/>
                <w:color w:val="auto"/>
                <w:kern w:val="0"/>
                <w:sz w:val="21"/>
                <w:szCs w:val="21"/>
                <w:highlight w:val="none"/>
              </w:rPr>
              <w:t>Cu</w:t>
            </w:r>
            <w:r>
              <w:rPr>
                <w:rFonts w:hint="eastAsia" w:ascii="Times New Roman" w:hAnsi="Times New Roman"/>
                <w:i w:val="0"/>
                <w:iCs w:val="0"/>
                <w:color w:val="auto"/>
                <w:kern w:val="0"/>
                <w:sz w:val="21"/>
                <w:szCs w:val="21"/>
                <w:highlight w:val="none"/>
              </w:rPr>
              <w:t>+</w:t>
            </w:r>
            <w:r>
              <w:rPr>
                <w:rFonts w:ascii="Times New Roman" w:hAnsi="Times New Roman"/>
                <w:i w:val="0"/>
                <w:iCs w:val="0"/>
                <w:color w:val="auto"/>
                <w:kern w:val="0"/>
                <w:sz w:val="21"/>
                <w:szCs w:val="21"/>
                <w:highlight w:val="none"/>
              </w:rPr>
              <w:t>Fe+</w:t>
            </w:r>
            <w:r>
              <w:rPr>
                <w:rFonts w:hint="eastAsia" w:ascii="Times New Roman" w:hAnsi="Times New Roman"/>
                <w:i w:val="0"/>
                <w:iCs w:val="0"/>
                <w:color w:val="auto"/>
                <w:kern w:val="0"/>
                <w:sz w:val="21"/>
                <w:szCs w:val="21"/>
                <w:highlight w:val="none"/>
              </w:rPr>
              <w:t>M</w:t>
            </w:r>
            <w:r>
              <w:rPr>
                <w:rFonts w:ascii="Times New Roman" w:hAnsi="Times New Roman"/>
                <w:i w:val="0"/>
                <w:iCs w:val="0"/>
                <w:color w:val="auto"/>
                <w:kern w:val="0"/>
                <w:sz w:val="21"/>
                <w:szCs w:val="21"/>
                <w:highlight w:val="none"/>
              </w:rPr>
              <w:t>n</w:t>
            </w:r>
            <w:r>
              <w:rPr>
                <w:rFonts w:hint="eastAsia" w:ascii="Times New Roman" w:hAnsi="Times New Roman"/>
                <w:i w:val="0"/>
                <w:iCs w:val="0"/>
                <w:color w:val="auto"/>
                <w:kern w:val="0"/>
                <w:sz w:val="21"/>
                <w:szCs w:val="21"/>
                <w:highlight w:val="none"/>
              </w:rPr>
              <w:t>，以干基计）</w:t>
            </w:r>
            <w:r>
              <w:rPr>
                <w:rFonts w:hint="eastAsia" w:ascii="Times New Roman" w:hAnsi="Times New Roman"/>
                <w:i w:val="0"/>
                <w:iCs w:val="0"/>
                <w:color w:val="auto"/>
                <w:kern w:val="0"/>
                <w:sz w:val="21"/>
                <w:szCs w:val="21"/>
                <w:highlight w:val="none"/>
                <w:lang w:val="en-US" w:eastAsia="zh-CN"/>
              </w:rPr>
              <w:t>合</w:t>
            </w:r>
            <w:r>
              <w:rPr>
                <w:rFonts w:hint="eastAsia" w:ascii="Times New Roman" w:hAnsi="Times New Roman"/>
                <w:i w:val="0"/>
                <w:iCs w:val="0"/>
                <w:color w:val="auto"/>
                <w:kern w:val="0"/>
                <w:sz w:val="21"/>
                <w:szCs w:val="21"/>
                <w:highlight w:val="none"/>
              </w:rPr>
              <w:t>量</w:t>
            </w:r>
            <w:r>
              <w:rPr>
                <w:rFonts w:hint="eastAsia"/>
                <w:i w:val="0"/>
                <w:iCs w:val="0"/>
                <w:color w:val="auto"/>
                <w:sz w:val="21"/>
                <w:szCs w:val="21"/>
                <w:highlight w:val="none"/>
                <w:lang w:eastAsia="zh-CN"/>
              </w:rPr>
              <w:t>的测定</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ascii="Times New Roman" w:hAnsi="Times New Roman" w:eastAsia="宋体"/>
                <w:i w:val="0"/>
                <w:iCs w:val="0"/>
                <w:color w:val="auto"/>
                <w:kern w:val="0"/>
                <w:sz w:val="21"/>
                <w:szCs w:val="21"/>
                <w:highlight w:val="none"/>
                <w:lang w:eastAsia="zh-CN"/>
              </w:rPr>
            </w:pPr>
            <w:r>
              <w:rPr>
                <w:rFonts w:ascii="Times New Roman" w:hAnsi="Times New Roman"/>
                <w:i w:val="0"/>
                <w:iCs w:val="0"/>
                <w:color w:val="auto"/>
                <w:kern w:val="0"/>
                <w:sz w:val="21"/>
                <w:szCs w:val="21"/>
                <w:highlight w:val="none"/>
              </w:rPr>
              <w:t>钙（Ca，以干基计）</w:t>
            </w:r>
            <w:r>
              <w:rPr>
                <w:rFonts w:hint="eastAsia"/>
                <w:i w:val="0"/>
                <w:iCs w:val="0"/>
                <w:color w:val="auto"/>
                <w:sz w:val="21"/>
                <w:szCs w:val="21"/>
                <w:highlight w:val="none"/>
                <w:lang w:eastAsia="zh-CN"/>
              </w:rPr>
              <w:t>的测定</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cs="宋体"/>
                <w:b/>
                <w:bCs/>
                <w:i w:val="0"/>
                <w:iCs w:val="0"/>
                <w:kern w:val="0"/>
                <w:sz w:val="21"/>
                <w:szCs w:val="21"/>
              </w:rPr>
            </w:pPr>
            <w:r>
              <w:rPr>
                <w:rFonts w:hint="eastAsia" w:ascii="Times New Roman" w:hAnsi="Times New Roman"/>
                <w:i w:val="0"/>
                <w:iCs w:val="0"/>
                <w:color w:val="auto"/>
                <w:kern w:val="0"/>
                <w:sz w:val="21"/>
                <w:szCs w:val="21"/>
                <w:highlight w:val="none"/>
              </w:rPr>
              <w:t>镉（Cd，以干基计）</w:t>
            </w:r>
            <w:r>
              <w:rPr>
                <w:rFonts w:hint="eastAsia"/>
                <w:i w:val="0"/>
                <w:iCs w:val="0"/>
                <w:color w:val="auto"/>
                <w:sz w:val="21"/>
                <w:szCs w:val="21"/>
                <w:highlight w:val="none"/>
                <w:lang w:eastAsia="zh-CN"/>
              </w:rPr>
              <w:t>的测定</w:t>
            </w:r>
            <w:r>
              <w:rPr>
                <w:rFonts w:hint="eastAsia" w:ascii="Times New Roman" w:hAnsi="Times New Roman"/>
                <w:i w:val="0"/>
                <w:iCs w:val="0"/>
                <w:color w:val="auto"/>
                <w:kern w:val="0"/>
                <w:sz w:val="21"/>
                <w:szCs w:val="21"/>
                <w:highlight w:val="none"/>
              </w:rPr>
              <w:t xml:space="preserve">  </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60" w:lineRule="exact"/>
              <w:jc w:val="left"/>
              <w:rPr>
                <w:rFonts w:cs="Calibri"/>
                <w:b/>
                <w:bCs/>
                <w:i w:val="0"/>
                <w:iCs w:val="0"/>
                <w:sz w:val="21"/>
                <w:szCs w:val="21"/>
              </w:rPr>
            </w:pPr>
            <w:r>
              <w:rPr>
                <w:rFonts w:hint="eastAsia" w:ascii="Times New Roman" w:hAnsi="Times New Roman"/>
                <w:i w:val="0"/>
                <w:iCs w:val="0"/>
                <w:color w:val="auto"/>
                <w:kern w:val="0"/>
                <w:sz w:val="21"/>
                <w:szCs w:val="21"/>
                <w:highlight w:val="none"/>
              </w:rPr>
              <w:t>铬（Cr，以干基计）</w:t>
            </w:r>
            <w:r>
              <w:rPr>
                <w:rFonts w:hint="eastAsia"/>
                <w:i w:val="0"/>
                <w:iCs w:val="0"/>
                <w:color w:val="auto"/>
                <w:sz w:val="21"/>
                <w:szCs w:val="21"/>
                <w:highlight w:val="none"/>
                <w:lang w:eastAsia="zh-CN"/>
              </w:rPr>
              <w:t>的测定</w:t>
            </w:r>
            <w:r>
              <w:rPr>
                <w:rFonts w:hint="eastAsia" w:ascii="Times New Roman" w:hAnsi="Times New Roman"/>
                <w:i w:val="0"/>
                <w:iCs w:val="0"/>
                <w:color w:val="auto"/>
                <w:kern w:val="0"/>
                <w:sz w:val="21"/>
                <w:szCs w:val="21"/>
                <w:highlight w:val="none"/>
              </w:rPr>
              <w:t xml:space="preserve"> </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60" w:lineRule="exact"/>
              <w:jc w:val="left"/>
              <w:rPr>
                <w:rFonts w:hint="eastAsia" w:ascii="Times New Roman" w:hAnsi="Times New Roman" w:eastAsia="宋体"/>
                <w:i w:val="0"/>
                <w:iCs w:val="0"/>
                <w:color w:val="auto"/>
                <w:kern w:val="0"/>
                <w:sz w:val="21"/>
                <w:szCs w:val="21"/>
                <w:highlight w:val="none"/>
                <w:lang w:eastAsia="zh-CN"/>
              </w:rPr>
            </w:pPr>
            <w:r>
              <w:rPr>
                <w:rFonts w:ascii="Times New Roman" w:hAnsi="Times New Roman"/>
                <w:i w:val="0"/>
                <w:iCs w:val="0"/>
                <w:color w:val="auto"/>
                <w:kern w:val="0"/>
                <w:sz w:val="21"/>
                <w:szCs w:val="21"/>
                <w:highlight w:val="none"/>
              </w:rPr>
              <w:t>镁（Mg，以干基计）</w:t>
            </w:r>
            <w:r>
              <w:rPr>
                <w:rFonts w:hint="eastAsia"/>
                <w:i w:val="0"/>
                <w:iCs w:val="0"/>
                <w:color w:val="auto"/>
                <w:sz w:val="21"/>
                <w:szCs w:val="21"/>
                <w:highlight w:val="none"/>
                <w:lang w:eastAsia="zh-CN"/>
              </w:rPr>
              <w:t>的测定</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宋体" w:hAnsi="宋体" w:eastAsia="宋体" w:cs="宋体"/>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宋体" w:hAnsi="宋体" w:eastAsia="宋体" w:cs="宋体"/>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60" w:lineRule="exact"/>
              <w:jc w:val="left"/>
              <w:rPr>
                <w:rFonts w:cs="Calibri"/>
                <w:b/>
                <w:bCs/>
                <w:i w:val="0"/>
                <w:iCs w:val="0"/>
                <w:sz w:val="21"/>
                <w:szCs w:val="21"/>
              </w:rPr>
            </w:pPr>
            <w:r>
              <w:rPr>
                <w:rFonts w:hint="eastAsia" w:ascii="Times New Roman" w:hAnsi="Times New Roman"/>
                <w:i w:val="0"/>
                <w:iCs w:val="0"/>
                <w:color w:val="auto"/>
                <w:kern w:val="0"/>
                <w:sz w:val="21"/>
                <w:szCs w:val="21"/>
                <w:highlight w:val="none"/>
              </w:rPr>
              <w:t>铅（Pb，以干基计）</w:t>
            </w:r>
            <w:r>
              <w:rPr>
                <w:rFonts w:hint="eastAsia"/>
                <w:i w:val="0"/>
                <w:iCs w:val="0"/>
                <w:color w:val="auto"/>
                <w:sz w:val="21"/>
                <w:szCs w:val="21"/>
                <w:highlight w:val="none"/>
                <w:lang w:eastAsia="zh-CN"/>
              </w:rPr>
              <w:t>的测定</w:t>
            </w:r>
            <w:r>
              <w:rPr>
                <w:rFonts w:hint="eastAsia" w:ascii="Times New Roman" w:hAnsi="Times New Roman"/>
                <w:i w:val="0"/>
                <w:iCs w:val="0"/>
                <w:color w:val="auto"/>
                <w:kern w:val="0"/>
                <w:sz w:val="21"/>
                <w:szCs w:val="21"/>
                <w:highlight w:val="none"/>
              </w:rPr>
              <w:t xml:space="preserve"> </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ascii="Times New Roman" w:hAnsi="Times New Roman" w:eastAsia="宋体" w:cs="Times New Roman"/>
                <w:i w:val="0"/>
                <w:iCs w:val="0"/>
                <w:color w:val="auto"/>
                <w:kern w:val="0"/>
                <w:sz w:val="21"/>
                <w:szCs w:val="21"/>
                <w:highlight w:val="none"/>
                <w:lang w:val="en-US" w:eastAsia="zh-CN" w:bidi="ar-SA"/>
              </w:rPr>
            </w:pPr>
            <w:r>
              <w:rPr>
                <w:rFonts w:hint="eastAsia" w:ascii="Times New Roman" w:hAnsi="Times New Roman"/>
                <w:i w:val="0"/>
                <w:iCs w:val="0"/>
                <w:color w:val="auto"/>
                <w:kern w:val="0"/>
                <w:sz w:val="21"/>
                <w:szCs w:val="21"/>
                <w:highlight w:val="none"/>
              </w:rPr>
              <w:t>硫（S，以干基计）</w:t>
            </w:r>
            <w:r>
              <w:rPr>
                <w:rFonts w:hint="eastAsia"/>
                <w:i w:val="0"/>
                <w:iCs w:val="0"/>
                <w:color w:val="auto"/>
                <w:sz w:val="21"/>
                <w:szCs w:val="21"/>
                <w:highlight w:val="none"/>
                <w:lang w:eastAsia="zh-CN"/>
              </w:rPr>
              <w:t>的测定</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left"/>
              <w:rPr>
                <w:rFonts w:ascii="Times New Roman" w:hAnsi="Times New Roman" w:eastAsia="宋体" w:cs="Times New Roman"/>
                <w:i w:val="0"/>
                <w:iCs w:val="0"/>
                <w:color w:val="auto"/>
                <w:kern w:val="0"/>
                <w:sz w:val="21"/>
                <w:szCs w:val="21"/>
                <w:highlight w:val="none"/>
                <w:lang w:val="en-US" w:eastAsia="zh-CN" w:bidi="ar-SA"/>
              </w:rPr>
            </w:pPr>
            <w:r>
              <w:rPr>
                <w:rFonts w:hint="eastAsia" w:ascii="Times New Roman" w:hAnsi="Times New Roman"/>
                <w:i w:val="0"/>
                <w:iCs w:val="0"/>
                <w:color w:val="auto"/>
                <w:kern w:val="0"/>
                <w:sz w:val="21"/>
                <w:szCs w:val="21"/>
                <w:highlight w:val="none"/>
              </w:rPr>
              <w:t>硅（Si，以干基计）</w:t>
            </w:r>
            <w:r>
              <w:rPr>
                <w:rFonts w:hint="eastAsia"/>
                <w:i w:val="0"/>
                <w:iCs w:val="0"/>
                <w:color w:val="auto"/>
                <w:sz w:val="21"/>
                <w:szCs w:val="21"/>
                <w:highlight w:val="none"/>
                <w:lang w:eastAsia="zh-CN"/>
              </w:rPr>
              <w:t>的测定</w:t>
            </w:r>
            <w:r>
              <w:rPr>
                <w:rFonts w:hint="eastAsia" w:ascii="Times New Roman" w:hAnsi="Times New Roman"/>
                <w:i w:val="0"/>
                <w:iCs w:val="0"/>
                <w:color w:val="auto"/>
                <w:kern w:val="0"/>
                <w:sz w:val="21"/>
                <w:szCs w:val="21"/>
                <w:highlight w:val="none"/>
              </w:rPr>
              <w:t xml:space="preserve"> </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kinsoku/>
              <w:wordWrap/>
              <w:overflowPunct/>
              <w:topLinePunct w:val="0"/>
              <w:bidi w:val="0"/>
              <w:adjustRightInd/>
              <w:snapToGrid/>
              <w:spacing w:line="360" w:lineRule="exact"/>
              <w:jc w:val="left"/>
              <w:rPr>
                <w:rFonts w:hint="eastAsia" w:eastAsia="宋体" w:cs="Calibri"/>
                <w:b/>
                <w:bCs/>
                <w:i w:val="0"/>
                <w:iCs w:val="0"/>
                <w:sz w:val="21"/>
                <w:szCs w:val="21"/>
                <w:lang w:eastAsia="zh-CN"/>
              </w:rPr>
            </w:pPr>
            <w:r>
              <w:rPr>
                <w:rFonts w:ascii="Times New Roman" w:hAnsi="Times New Roman"/>
                <w:i w:val="0"/>
                <w:iCs w:val="0"/>
                <w:color w:val="auto"/>
                <w:kern w:val="0"/>
                <w:sz w:val="21"/>
                <w:szCs w:val="21"/>
                <w:highlight w:val="none"/>
              </w:rPr>
              <w:t>锌（Zn，以干基计）</w:t>
            </w:r>
            <w:r>
              <w:rPr>
                <w:rFonts w:hint="eastAsia"/>
                <w:i w:val="0"/>
                <w:iCs w:val="0"/>
                <w:color w:val="auto"/>
                <w:sz w:val="21"/>
                <w:szCs w:val="21"/>
                <w:highlight w:val="none"/>
                <w:lang w:eastAsia="zh-CN"/>
              </w:rPr>
              <w:t>的测定</w:t>
            </w:r>
          </w:p>
        </w:tc>
        <w:tc>
          <w:tcPr>
            <w:tcW w:w="3219" w:type="dxa"/>
            <w:vMerge w:val="continue"/>
            <w:tcBorders>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宋体" w:hAnsi="宋体" w:eastAsia="宋体" w:cs="宋体"/>
                <w:color w:val="auto"/>
                <w:kern w:val="0"/>
                <w:sz w:val="21"/>
                <w:szCs w:val="21"/>
                <w:highlight w:val="none"/>
                <w:lang w:val="en-US" w:eastAsia="zh-CN" w:bidi="ar-SA"/>
              </w:rPr>
            </w:pPr>
          </w:p>
        </w:tc>
        <w:tc>
          <w:tcPr>
            <w:tcW w:w="3219" w:type="dxa"/>
            <w:vMerge w:val="continue"/>
            <w:tcBorders>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eastAsia" w:ascii="宋体" w:hAnsi="宋体" w:eastAsia="宋体" w:cs="宋体"/>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ascii="Times New Roman" w:hAnsi="Times New Roman" w:eastAsia="宋体" w:cs="宋体"/>
                <w:b/>
                <w:bCs/>
                <w:i w:val="0"/>
                <w:iCs w:val="0"/>
                <w:kern w:val="0"/>
                <w:sz w:val="21"/>
                <w:szCs w:val="21"/>
                <w:lang w:val="en-US" w:eastAsia="zh-CN" w:bidi="ar"/>
              </w:rPr>
            </w:pPr>
            <w:r>
              <w:rPr>
                <w:rFonts w:ascii="Times New Roman" w:hAnsi="Times New Roman"/>
                <w:i w:val="0"/>
                <w:iCs w:val="0"/>
                <w:color w:val="auto"/>
                <w:sz w:val="21"/>
                <w:szCs w:val="21"/>
                <w:highlight w:val="none"/>
              </w:rPr>
              <w:t>残余钠（Na）</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酸碱滴定法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酸碱滴定法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ascii="Times New Roman" w:hAnsi="Times New Roman" w:eastAsia="宋体" w:cs="宋体"/>
                <w:b/>
                <w:bCs/>
                <w:i w:val="0"/>
                <w:iCs w:val="0"/>
                <w:kern w:val="0"/>
                <w:sz w:val="21"/>
                <w:szCs w:val="21"/>
                <w:lang w:val="en-US" w:eastAsia="zh-CN" w:bidi="ar"/>
              </w:rPr>
            </w:pPr>
            <w:r>
              <w:rPr>
                <w:rFonts w:ascii="Times New Roman" w:hAnsi="Times New Roman"/>
                <w:i w:val="0"/>
                <w:iCs w:val="0"/>
                <w:color w:val="auto"/>
                <w:sz w:val="21"/>
                <w:szCs w:val="21"/>
                <w:highlight w:val="none"/>
              </w:rPr>
              <w:t>磁性异物</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ighlight w:val="none"/>
              </w:rPr>
              <w:t>供需双方协商</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center"/>
              <w:textAlignment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ICP-OES法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hint="eastAsia" w:eastAsia="宋体" w:cs="宋体"/>
                <w:b/>
                <w:bCs/>
                <w:i w:val="0"/>
                <w:iCs w:val="0"/>
                <w:color w:val="000000"/>
                <w:kern w:val="0"/>
                <w:sz w:val="21"/>
                <w:szCs w:val="21"/>
                <w:lang w:val="en-US" w:eastAsia="zh-CN" w:bidi="ar"/>
              </w:rPr>
            </w:pPr>
            <w:r>
              <w:rPr>
                <w:rFonts w:ascii="Times New Roman" w:hAnsi="Times New Roman"/>
                <w:i w:val="0"/>
                <w:iCs w:val="0"/>
                <w:color w:val="auto"/>
                <w:kern w:val="0"/>
                <w:sz w:val="21"/>
                <w:szCs w:val="21"/>
                <w:highlight w:val="none"/>
              </w:rPr>
              <w:t>水分</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kern w:val="0"/>
                <w:sz w:val="21"/>
                <w:szCs w:val="21"/>
                <w:highlight w:val="none"/>
              </w:rPr>
              <w:t>卡尔·费休法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ascii="Times New Roman" w:hAnsi="Times New Roman"/>
                <w:color w:val="auto"/>
                <w:kern w:val="0"/>
                <w:sz w:val="21"/>
                <w:szCs w:val="21"/>
                <w:highlight w:val="none"/>
              </w:rPr>
              <w:t>卡尔·费休法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left"/>
              <w:rPr>
                <w:rFonts w:ascii="Times New Roman" w:hAnsi="Times New Roman" w:eastAsia="宋体" w:cs="宋体"/>
                <w:b/>
                <w:bCs/>
                <w:kern w:val="0"/>
                <w:sz w:val="21"/>
                <w:szCs w:val="21"/>
                <w:lang w:val="en-US" w:eastAsia="zh-CN" w:bidi="ar-SA"/>
              </w:rPr>
            </w:pPr>
            <w:r>
              <w:rPr>
                <w:rFonts w:ascii="Times New Roman" w:hAnsi="Times New Roman"/>
                <w:color w:val="auto"/>
                <w:kern w:val="0"/>
                <w:sz w:val="21"/>
                <w:szCs w:val="21"/>
                <w:highlight w:val="none"/>
              </w:rPr>
              <w:t>pH</w:t>
            </w:r>
            <w:r>
              <w:rPr>
                <w:rFonts w:hint="eastAsia" w:ascii="Times New Roman" w:hAnsi="Times New Roman"/>
                <w:color w:val="auto"/>
                <w:kern w:val="0"/>
                <w:sz w:val="21"/>
                <w:szCs w:val="21"/>
                <w:highlight w:val="none"/>
              </w:rPr>
              <w:t>（100g/L上清液）</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pH计法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pH计法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left"/>
              <w:textAlignment w:val="center"/>
              <w:rPr>
                <w:rFonts w:ascii="Times New Roman" w:hAnsi="Times New Roman" w:eastAsia="宋体" w:cs="宋体"/>
                <w:b/>
                <w:bCs/>
                <w:kern w:val="0"/>
                <w:sz w:val="21"/>
                <w:szCs w:val="21"/>
                <w:lang w:val="en-US" w:eastAsia="zh-CN" w:bidi="ar-SA"/>
              </w:rPr>
            </w:pPr>
            <w:r>
              <w:rPr>
                <w:rFonts w:hint="eastAsia" w:ascii="Times New Roman" w:hAnsi="Times New Roman"/>
                <w:color w:val="auto"/>
                <w:kern w:val="0"/>
                <w:sz w:val="21"/>
                <w:szCs w:val="21"/>
                <w:highlight w:val="none"/>
              </w:rPr>
              <w:t>振实密度</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s="Times New Roman"/>
                <w:color w:val="auto"/>
                <w:kern w:val="0"/>
                <w:sz w:val="21"/>
                <w:szCs w:val="21"/>
                <w:highlight w:val="none"/>
                <w:lang w:val="en-US" w:eastAsia="zh-CN" w:bidi="ar-SA"/>
              </w:rPr>
              <w:t>振实密度测定法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宋体" w:hAnsi="宋体" w:eastAsia="宋体" w:cs="Times New Roman"/>
                <w:color w:val="auto"/>
                <w:kern w:val="0"/>
                <w:sz w:val="21"/>
                <w:szCs w:val="21"/>
                <w:highlight w:val="none"/>
                <w:lang w:val="en-US" w:eastAsia="zh-CN" w:bidi="ar-SA"/>
              </w:rPr>
            </w:pPr>
            <w:r>
              <w:rPr>
                <w:rFonts w:hint="eastAsia" w:ascii="宋体" w:hAnsi="宋体" w:cs="Times New Roman"/>
                <w:color w:val="auto"/>
                <w:kern w:val="0"/>
                <w:sz w:val="21"/>
                <w:szCs w:val="21"/>
                <w:highlight w:val="none"/>
                <w:lang w:val="en-US" w:eastAsia="zh-CN" w:bidi="ar-SA"/>
              </w:rPr>
              <w:t>振实密度测定法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left"/>
              <w:textAlignment w:val="center"/>
              <w:rPr>
                <w:b w:val="0"/>
                <w:bCs w:val="0"/>
                <w:color w:val="000000"/>
                <w:kern w:val="0"/>
                <w:sz w:val="21"/>
                <w:szCs w:val="21"/>
                <w:lang w:bidi="ar"/>
              </w:rPr>
            </w:pPr>
            <w:r>
              <w:rPr>
                <w:rFonts w:hint="eastAsia" w:ascii="Times New Roman" w:hAnsi="Times New Roman"/>
                <w:b w:val="0"/>
                <w:bCs w:val="0"/>
                <w:color w:val="auto"/>
                <w:kern w:val="0"/>
                <w:sz w:val="21"/>
                <w:szCs w:val="21"/>
                <w:highlight w:val="none"/>
              </w:rPr>
              <w:t>粒度分布</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top"/>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i w:val="0"/>
                <w:iCs w:val="0"/>
                <w:color w:val="000000"/>
                <w:kern w:val="0"/>
                <w:sz w:val="21"/>
                <w:szCs w:val="21"/>
                <w:u w:val="none"/>
                <w:lang w:val="en-US" w:eastAsia="zh-CN" w:bidi="ar"/>
              </w:rPr>
              <w:t>激光衍射法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cs="Times New Roman"/>
                <w:i w:val="0"/>
                <w:iCs w:val="0"/>
                <w:color w:val="000000"/>
                <w:kern w:val="0"/>
                <w:sz w:val="21"/>
                <w:szCs w:val="21"/>
                <w:u w:val="none"/>
                <w:lang w:val="en-US" w:eastAsia="zh-CN" w:bidi="ar"/>
              </w:rPr>
              <w:t>激光衍射法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left"/>
              <w:textAlignment w:val="center"/>
              <w:rPr>
                <w:rFonts w:ascii="Times New Roman" w:hAnsi="Times New Roman" w:eastAsia="宋体" w:cs="Calibri"/>
                <w:b w:val="0"/>
                <w:bCs w:val="0"/>
                <w:kern w:val="2"/>
                <w:sz w:val="21"/>
                <w:szCs w:val="21"/>
                <w:lang w:val="en-US" w:eastAsia="zh-CN" w:bidi="ar-SA"/>
              </w:rPr>
            </w:pPr>
            <w:r>
              <w:rPr>
                <w:rFonts w:hint="eastAsia" w:ascii="Times New Roman" w:hAnsi="Times New Roman"/>
                <w:b w:val="0"/>
                <w:bCs w:val="0"/>
                <w:color w:val="auto"/>
                <w:kern w:val="0"/>
                <w:sz w:val="21"/>
                <w:szCs w:val="21"/>
                <w:highlight w:val="none"/>
              </w:rPr>
              <w:t>比表面积</w:t>
            </w:r>
            <w:r>
              <w:rPr>
                <w:rFonts w:hint="eastAsia"/>
                <w:i w:val="0"/>
                <w:iCs w:val="0"/>
                <w:color w:val="auto"/>
                <w:sz w:val="21"/>
                <w:szCs w:val="21"/>
                <w:highlight w:val="none"/>
                <w:lang w:eastAsia="zh-CN"/>
              </w:rPr>
              <w:t>的测定</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color w:val="auto"/>
                <w:kern w:val="0"/>
                <w:szCs w:val="20"/>
                <w:highlight w:val="none"/>
              </w:rPr>
              <w:t>气体吸附B</w:t>
            </w:r>
            <w:r>
              <w:rPr>
                <w:rFonts w:ascii="Times New Roman" w:hAnsi="Times New Roman"/>
                <w:color w:val="auto"/>
                <w:kern w:val="0"/>
                <w:szCs w:val="20"/>
                <w:highlight w:val="none"/>
              </w:rPr>
              <w:t>ET</w:t>
            </w:r>
            <w:r>
              <w:rPr>
                <w:rFonts w:hint="eastAsia" w:ascii="Times New Roman" w:hAnsi="Times New Roman"/>
                <w:color w:val="auto"/>
                <w:kern w:val="0"/>
                <w:szCs w:val="20"/>
                <w:highlight w:val="none"/>
              </w:rPr>
              <w:t>法</w:t>
            </w:r>
          </w:p>
        </w:tc>
        <w:tc>
          <w:tcPr>
            <w:tcW w:w="3219" w:type="dxa"/>
            <w:tcBorders>
              <w:top w:val="single" w:color="auto" w:sz="4" w:space="0"/>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cs="Times New Roman"/>
                <w:i w:val="0"/>
                <w:iCs w:val="0"/>
                <w:color w:val="000000"/>
                <w:kern w:val="0"/>
                <w:sz w:val="21"/>
                <w:szCs w:val="21"/>
                <w:u w:val="none"/>
                <w:lang w:val="en-US" w:eastAsia="zh-CN" w:bidi="ar"/>
              </w:rPr>
            </w:pPr>
            <w:r>
              <w:rPr>
                <w:rFonts w:hint="eastAsia" w:ascii="Times New Roman" w:hAnsi="Times New Roman"/>
                <w:color w:val="auto"/>
                <w:kern w:val="0"/>
                <w:szCs w:val="20"/>
                <w:highlight w:val="none"/>
              </w:rPr>
              <w:t>气体吸附B</w:t>
            </w:r>
            <w:r>
              <w:rPr>
                <w:rFonts w:ascii="Times New Roman" w:hAnsi="Times New Roman"/>
                <w:color w:val="auto"/>
                <w:kern w:val="0"/>
                <w:szCs w:val="20"/>
                <w:highlight w:val="none"/>
              </w:rPr>
              <w:t>ET</w:t>
            </w:r>
            <w:r>
              <w:rPr>
                <w:rFonts w:hint="eastAsia" w:ascii="Times New Roman" w:hAnsi="Times New Roman"/>
                <w:color w:val="auto"/>
                <w:kern w:val="0"/>
                <w:szCs w:val="20"/>
                <w:highlight w:val="none"/>
              </w:rPr>
              <w:t>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left"/>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首次放电比容量</w:t>
            </w:r>
            <w:r>
              <w:rPr>
                <w:rFonts w:hint="eastAsia"/>
                <w:i w:val="0"/>
                <w:iCs w:val="0"/>
                <w:color w:val="auto"/>
                <w:sz w:val="21"/>
                <w:szCs w:val="21"/>
                <w:highlight w:val="none"/>
                <w:lang w:eastAsia="zh-CN"/>
              </w:rPr>
              <w:t>的测定</w:t>
            </w:r>
          </w:p>
        </w:tc>
        <w:tc>
          <w:tcPr>
            <w:tcW w:w="3219" w:type="dxa"/>
            <w:vMerge w:val="restart"/>
            <w:tcBorders>
              <w:top w:val="single" w:color="auto" w:sz="4" w:space="0"/>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组装电池-测试法</w:t>
            </w:r>
          </w:p>
        </w:tc>
        <w:tc>
          <w:tcPr>
            <w:tcW w:w="3219" w:type="dxa"/>
            <w:vMerge w:val="restart"/>
            <w:tcBorders>
              <w:top w:val="single" w:color="auto" w:sz="4" w:space="0"/>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r>
              <w:rPr>
                <w:rFonts w:hint="eastAsia" w:cs="Times New Roman"/>
                <w:color w:val="auto"/>
                <w:kern w:val="0"/>
                <w:sz w:val="21"/>
                <w:szCs w:val="21"/>
                <w:highlight w:val="none"/>
                <w:lang w:val="en-US" w:eastAsia="zh-CN" w:bidi="ar-SA"/>
              </w:rPr>
              <w:t>组装电池-测试法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4"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left"/>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首次放电效率</w:t>
            </w:r>
            <w:r>
              <w:rPr>
                <w:rFonts w:hint="eastAsia"/>
                <w:i w:val="0"/>
                <w:iCs w:val="0"/>
                <w:color w:val="auto"/>
                <w:sz w:val="21"/>
                <w:szCs w:val="21"/>
                <w:highlight w:val="none"/>
                <w:lang w:eastAsia="zh-CN"/>
              </w:rPr>
              <w:t>的测定</w:t>
            </w: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3306" w:type="dxa"/>
            <w:tcBorders>
              <w:top w:val="single" w:color="auto" w:sz="4" w:space="0"/>
              <w:left w:val="single" w:color="auto" w:sz="8" w:space="0"/>
              <w:bottom w:val="single" w:color="auto" w:sz="8" w:space="0"/>
              <w:right w:val="single" w:color="auto" w:sz="4"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bidi w:val="0"/>
              <w:adjustRightInd/>
              <w:snapToGrid/>
              <w:spacing w:line="360" w:lineRule="exact"/>
              <w:jc w:val="both"/>
              <w:textAlignment w:val="center"/>
              <w:rPr>
                <w:rFonts w:hint="default" w:cs="宋体"/>
                <w:b w:val="0"/>
                <w:bCs w:val="0"/>
                <w:color w:val="000000"/>
                <w:kern w:val="0"/>
                <w:sz w:val="21"/>
                <w:szCs w:val="21"/>
                <w:lang w:val="en-US" w:eastAsia="zh-CN" w:bidi="ar"/>
              </w:rPr>
            </w:pPr>
            <w:r>
              <w:rPr>
                <w:rFonts w:hint="eastAsia" w:cs="宋体"/>
                <w:b w:val="0"/>
                <w:bCs w:val="0"/>
                <w:color w:val="000000"/>
                <w:kern w:val="0"/>
                <w:sz w:val="21"/>
                <w:szCs w:val="21"/>
                <w:lang w:val="en-US" w:eastAsia="zh-CN" w:bidi="ar"/>
              </w:rPr>
              <w:t>循环寿命</w:t>
            </w:r>
            <w:r>
              <w:rPr>
                <w:rFonts w:hint="eastAsia"/>
                <w:i w:val="0"/>
                <w:iCs w:val="0"/>
                <w:color w:val="auto"/>
                <w:sz w:val="21"/>
                <w:szCs w:val="21"/>
                <w:highlight w:val="none"/>
                <w:lang w:eastAsia="zh-CN"/>
              </w:rPr>
              <w:t>的测定</w:t>
            </w:r>
          </w:p>
        </w:tc>
        <w:tc>
          <w:tcPr>
            <w:tcW w:w="3219" w:type="dxa"/>
            <w:vMerge w:val="continue"/>
            <w:tcBorders>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c>
          <w:tcPr>
            <w:tcW w:w="3219" w:type="dxa"/>
            <w:vMerge w:val="continue"/>
            <w:tcBorders>
              <w:left w:val="single" w:color="auto" w:sz="4" w:space="0"/>
              <w:bottom w:val="single" w:color="auto" w:sz="4" w:space="0"/>
              <w:right w:val="single" w:color="auto" w:sz="8" w:space="0"/>
            </w:tcBorders>
            <w:shd w:val="clear" w:color="auto" w:fill="auto"/>
            <w:tcMar>
              <w:top w:w="0" w:type="dxa"/>
              <w:left w:w="51" w:type="dxa"/>
              <w:bottom w:w="0" w:type="dxa"/>
              <w:right w:w="51" w:type="dxa"/>
            </w:tcMar>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color w:val="auto"/>
                <w:kern w:val="0"/>
                <w:sz w:val="21"/>
                <w:szCs w:val="21"/>
                <w:highlight w:val="none"/>
                <w:lang w:val="en-US" w:eastAsia="zh-CN" w:bidi="ar-SA"/>
              </w:rPr>
            </w:pPr>
          </w:p>
        </w:tc>
      </w:tr>
    </w:tbl>
    <w:p>
      <w:pPr>
        <w:keepNext w:val="0"/>
        <w:keepLines w:val="0"/>
        <w:pageBreakBefore w:val="0"/>
        <w:kinsoku/>
        <w:wordWrap/>
        <w:overflowPunct/>
        <w:topLinePunct w:val="0"/>
        <w:bidi w:val="0"/>
        <w:adjustRightInd/>
        <w:spacing w:line="360" w:lineRule="exact"/>
        <w:ind w:firstLine="480"/>
        <w:jc w:val="left"/>
        <w:rPr>
          <w:szCs w:val="21"/>
        </w:rPr>
      </w:pPr>
    </w:p>
    <w:p>
      <w:pPr>
        <w:keepNext w:val="0"/>
        <w:keepLines w:val="0"/>
        <w:pageBreakBefore w:val="0"/>
        <w:kinsoku/>
        <w:wordWrap/>
        <w:overflowPunct/>
        <w:topLinePunct w:val="0"/>
        <w:bidi w:val="0"/>
        <w:adjustRightInd/>
        <w:spacing w:line="360" w:lineRule="exact"/>
        <w:rPr>
          <w:rFonts w:hint="eastAsia" w:ascii="黑体" w:hAnsi="黑体" w:eastAsia="黑体" w:cs="黑体"/>
          <w:lang w:val="en-US" w:eastAsia="zh-CN"/>
        </w:rPr>
        <w:sectPr>
          <w:footerReference r:id="rId11" w:type="default"/>
          <w:pgSz w:w="11906" w:h="16838"/>
          <w:pgMar w:top="1440" w:right="1083" w:bottom="1440" w:left="1083" w:header="851" w:footer="992" w:gutter="0"/>
          <w:pgNumType w:fmt="decimal"/>
          <w:cols w:space="0" w:num="1"/>
          <w:rtlGutter w:val="0"/>
          <w:docGrid w:type="lines" w:linePitch="314" w:charSpace="0"/>
        </w:sectPr>
      </w:pPr>
    </w:p>
    <w:p>
      <w:pPr>
        <w:keepNext w:val="0"/>
        <w:keepLines w:val="0"/>
        <w:pageBreakBefore w:val="0"/>
        <w:kinsoku/>
        <w:wordWrap/>
        <w:overflowPunct/>
        <w:topLinePunct w:val="0"/>
        <w:bidi w:val="0"/>
        <w:adjustRightInd/>
        <w:spacing w:line="360" w:lineRule="exac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附表3：样品实测数据</w:t>
      </w:r>
    </w:p>
    <w:p>
      <w:pPr>
        <w:pStyle w:val="25"/>
        <w:keepNext w:val="0"/>
        <w:keepLines w:val="0"/>
        <w:pageBreakBefore w:val="0"/>
        <w:numPr>
          <w:ilvl w:val="0"/>
          <w:numId w:val="0"/>
        </w:numPr>
        <w:kinsoku/>
        <w:wordWrap/>
        <w:overflowPunct/>
        <w:topLinePunct w:val="0"/>
        <w:bidi w:val="0"/>
        <w:adjustRightInd/>
        <w:spacing w:line="360" w:lineRule="exact"/>
        <w:ind w:leftChars="0"/>
        <w:jc w:val="both"/>
        <w:rPr>
          <w:rFonts w:hint="eastAsia"/>
          <w:sz w:val="24"/>
          <w:szCs w:val="24"/>
          <w:lang w:val="en-US" w:eastAsia="zh-CN"/>
        </w:rPr>
      </w:pPr>
      <w:r>
        <w:rPr>
          <w:rFonts w:hint="eastAsia"/>
          <w:sz w:val="24"/>
          <w:szCs w:val="24"/>
          <w:lang w:val="en-US" w:eastAsia="zh-CN"/>
        </w:rPr>
        <w:t>附表3-1：                       化学成分验证成果</w:t>
      </w:r>
    </w:p>
    <w:tbl>
      <w:tblPr>
        <w:tblStyle w:val="11"/>
        <w:tblW w:w="9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1140"/>
        <w:gridCol w:w="1276"/>
        <w:gridCol w:w="1208"/>
        <w:gridCol w:w="1208"/>
        <w:gridCol w:w="1208"/>
        <w:gridCol w:w="1208"/>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Merge w:val="restart"/>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指标</w:t>
            </w:r>
          </w:p>
        </w:tc>
        <w:tc>
          <w:tcPr>
            <w:tcW w:w="2416" w:type="dxa"/>
            <w:gridSpan w:val="2"/>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主含量质量分数/%</w:t>
            </w:r>
          </w:p>
        </w:tc>
        <w:tc>
          <w:tcPr>
            <w:tcW w:w="6046" w:type="dxa"/>
            <w:gridSpan w:val="5"/>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杂质元素质量分数/%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Merge w:val="continue"/>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p>
        </w:tc>
        <w:tc>
          <w:tcPr>
            <w:tcW w:w="114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Na</w:t>
            </w:r>
          </w:p>
        </w:tc>
        <w:tc>
          <w:tcPr>
            <w:tcW w:w="1276"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铜铁锰</w:t>
            </w:r>
            <w:r>
              <w:rPr>
                <w:rFonts w:hint="default" w:ascii="Times New Roman" w:hAnsi="Times New Roman" w:eastAsia="宋体" w:cs="Times New Roman"/>
                <w:kern w:val="0"/>
                <w:sz w:val="21"/>
                <w:szCs w:val="21"/>
                <w:vertAlign w:val="baseline"/>
                <w:lang w:val="en-US" w:eastAsia="zh-CN" w:bidi="ar"/>
              </w:rPr>
              <w:t>合量</w:t>
            </w:r>
          </w:p>
        </w:tc>
        <w:tc>
          <w:tcPr>
            <w:tcW w:w="12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Cd</w:t>
            </w:r>
          </w:p>
        </w:tc>
        <w:tc>
          <w:tcPr>
            <w:tcW w:w="12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Cr</w:t>
            </w:r>
          </w:p>
        </w:tc>
        <w:tc>
          <w:tcPr>
            <w:tcW w:w="12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Pb</w:t>
            </w:r>
          </w:p>
        </w:tc>
        <w:tc>
          <w:tcPr>
            <w:tcW w:w="12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Si</w:t>
            </w:r>
          </w:p>
        </w:tc>
        <w:tc>
          <w:tcPr>
            <w:tcW w:w="121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1#样品</w:t>
            </w:r>
          </w:p>
        </w:tc>
        <w:tc>
          <w:tcPr>
            <w:tcW w:w="1140"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19.98</w:t>
            </w:r>
          </w:p>
        </w:tc>
        <w:tc>
          <w:tcPr>
            <w:tcW w:w="1276"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46.40</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0.0088</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127</w:t>
            </w:r>
          </w:p>
        </w:tc>
        <w:tc>
          <w:tcPr>
            <w:tcW w:w="1214"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0.0949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2#样品</w:t>
            </w:r>
          </w:p>
        </w:tc>
        <w:tc>
          <w:tcPr>
            <w:tcW w:w="1140"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17.40</w:t>
            </w:r>
          </w:p>
        </w:tc>
        <w:tc>
          <w:tcPr>
            <w:tcW w:w="1276"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48.83</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0.001</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0.0069</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r>
              <w:rPr>
                <w:rFonts w:hint="eastAsia" w:cs="Times New Roman"/>
                <w:i w:val="0"/>
                <w:iCs w:val="0"/>
                <w:color w:val="000000"/>
                <w:kern w:val="0"/>
                <w:sz w:val="21"/>
                <w:szCs w:val="21"/>
                <w:u w:val="none"/>
                <w:lang w:val="en-US" w:eastAsia="zh-CN" w:bidi="ar"/>
              </w:rPr>
              <w:t>0147</w:t>
            </w:r>
          </w:p>
        </w:tc>
        <w:tc>
          <w:tcPr>
            <w:tcW w:w="1214"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0.219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3#样品</w:t>
            </w:r>
          </w:p>
        </w:tc>
        <w:tc>
          <w:tcPr>
            <w:tcW w:w="1140"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.41</w:t>
            </w:r>
          </w:p>
        </w:tc>
        <w:tc>
          <w:tcPr>
            <w:tcW w:w="1276"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50.46</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0.0003</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0.012</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w:t>
            </w:r>
            <w:r>
              <w:rPr>
                <w:rFonts w:hint="eastAsia" w:cs="Times New Roman"/>
                <w:i w:val="0"/>
                <w:iCs w:val="0"/>
                <w:color w:val="000000"/>
                <w:kern w:val="0"/>
                <w:sz w:val="21"/>
                <w:szCs w:val="21"/>
                <w:u w:val="none"/>
                <w:lang w:val="en-US" w:eastAsia="zh-CN" w:bidi="ar"/>
              </w:rPr>
              <w:t>046</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0.0165</w:t>
            </w:r>
          </w:p>
        </w:tc>
        <w:tc>
          <w:tcPr>
            <w:tcW w:w="1214"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0.2459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4#样品</w:t>
            </w:r>
          </w:p>
        </w:tc>
        <w:tc>
          <w:tcPr>
            <w:tcW w:w="1140"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18.49</w:t>
            </w:r>
          </w:p>
        </w:tc>
        <w:tc>
          <w:tcPr>
            <w:tcW w:w="1276"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51.75</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14"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8"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5#样品</w:t>
            </w:r>
          </w:p>
        </w:tc>
        <w:tc>
          <w:tcPr>
            <w:tcW w:w="1140"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18.56</w:t>
            </w:r>
          </w:p>
        </w:tc>
        <w:tc>
          <w:tcPr>
            <w:tcW w:w="1276"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48</w:t>
            </w:r>
            <w:r>
              <w:rPr>
                <w:rFonts w:hint="default" w:ascii="Times New Roman" w:hAnsi="Times New Roman" w:eastAsia="宋体" w:cs="Times New Roman"/>
                <w:i w:val="0"/>
                <w:iCs w:val="0"/>
                <w:color w:val="000000"/>
                <w:kern w:val="0"/>
                <w:sz w:val="21"/>
                <w:szCs w:val="21"/>
                <w:u w:val="none"/>
                <w:lang w:val="en-US" w:eastAsia="zh-CN" w:bidi="ar"/>
              </w:rPr>
              <w:t>.38</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0.0066</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0.0019</w:t>
            </w:r>
          </w:p>
        </w:tc>
        <w:tc>
          <w:tcPr>
            <w:tcW w:w="1208"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r>
              <w:rPr>
                <w:rFonts w:hint="eastAsia" w:cs="Times New Roman"/>
                <w:i w:val="0"/>
                <w:iCs w:val="0"/>
                <w:color w:val="000000"/>
                <w:kern w:val="0"/>
                <w:sz w:val="21"/>
                <w:szCs w:val="21"/>
                <w:u w:val="none"/>
                <w:lang w:val="en-US" w:eastAsia="zh-CN" w:bidi="ar"/>
              </w:rPr>
              <w:t>0194</w:t>
            </w:r>
          </w:p>
        </w:tc>
        <w:tc>
          <w:tcPr>
            <w:tcW w:w="1214" w:type="dxa"/>
            <w:vAlign w:val="center"/>
          </w:tcPr>
          <w:p>
            <w:pPr>
              <w:keepNext w:val="0"/>
              <w:keepLines w:val="0"/>
              <w:pageBreakBefore w:val="0"/>
              <w:widowControl/>
              <w:suppressLineNumbers w:val="0"/>
              <w:kinsoku/>
              <w:wordWrap/>
              <w:overflowPunct/>
              <w:topLinePunct w:val="0"/>
              <w:bidi w:val="0"/>
              <w:adjustRightInd/>
              <w:snapToGrid/>
              <w:spacing w:line="360" w:lineRule="exact"/>
              <w:jc w:val="center"/>
              <w:textAlignment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0.0870</w:t>
            </w:r>
          </w:p>
        </w:tc>
      </w:tr>
    </w:tbl>
    <w:p>
      <w:pPr>
        <w:pStyle w:val="25"/>
        <w:keepNext w:val="0"/>
        <w:keepLines w:val="0"/>
        <w:pageBreakBefore w:val="0"/>
        <w:numPr>
          <w:ilvl w:val="0"/>
          <w:numId w:val="0"/>
        </w:numPr>
        <w:kinsoku/>
        <w:wordWrap/>
        <w:overflowPunct/>
        <w:topLinePunct w:val="0"/>
        <w:bidi w:val="0"/>
        <w:adjustRightInd/>
        <w:spacing w:line="360" w:lineRule="exact"/>
        <w:ind w:leftChars="0"/>
        <w:jc w:val="both"/>
        <w:rPr>
          <w:rFonts w:hint="eastAsia"/>
          <w:sz w:val="24"/>
          <w:szCs w:val="24"/>
          <w:lang w:val="en-US" w:eastAsia="zh-CN"/>
        </w:rPr>
      </w:pPr>
      <w:r>
        <w:rPr>
          <w:rFonts w:hint="eastAsia"/>
          <w:sz w:val="24"/>
          <w:szCs w:val="24"/>
          <w:lang w:val="en-US" w:eastAsia="zh-CN"/>
        </w:rPr>
        <w:t>附表3-2：                  物理性能和电化学性能验证结果</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977"/>
        <w:gridCol w:w="951"/>
        <w:gridCol w:w="811"/>
        <w:gridCol w:w="1042"/>
        <w:gridCol w:w="1090"/>
        <w:gridCol w:w="912"/>
        <w:gridCol w:w="1643"/>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指标</w:t>
            </w:r>
          </w:p>
        </w:tc>
        <w:tc>
          <w:tcPr>
            <w:tcW w:w="5783" w:type="dxa"/>
            <w:gridSpan w:val="6"/>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物理性能</w:t>
            </w:r>
          </w:p>
        </w:tc>
        <w:tc>
          <w:tcPr>
            <w:tcW w:w="2897" w:type="dxa"/>
            <w:gridSpan w:val="2"/>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电化学性能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水分/%</w:t>
            </w:r>
          </w:p>
        </w:tc>
        <w:tc>
          <w:tcPr>
            <w:tcW w:w="95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残</w:t>
            </w:r>
            <w:r>
              <w:rPr>
                <w:rFonts w:hint="eastAsia" w:cs="Times New Roman"/>
                <w:kern w:val="0"/>
                <w:sz w:val="21"/>
                <w:szCs w:val="21"/>
                <w:vertAlign w:val="baseline"/>
                <w:lang w:val="en-US" w:eastAsia="zh-CN" w:bidi="ar"/>
              </w:rPr>
              <w:t>余</w:t>
            </w:r>
            <w:r>
              <w:rPr>
                <w:rFonts w:hint="default" w:ascii="Times New Roman" w:hAnsi="Times New Roman" w:eastAsia="宋体" w:cs="Times New Roman"/>
                <w:kern w:val="0"/>
                <w:sz w:val="21"/>
                <w:szCs w:val="21"/>
                <w:vertAlign w:val="baseline"/>
                <w:lang w:val="en-US" w:eastAsia="zh-CN" w:bidi="ar"/>
              </w:rPr>
              <w:t>钠/%</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pH</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振实密度/g cm</w:t>
            </w:r>
            <w:r>
              <w:rPr>
                <w:rFonts w:hint="default" w:ascii="Times New Roman" w:hAnsi="Times New Roman" w:eastAsia="宋体" w:cs="Times New Roman"/>
                <w:kern w:val="0"/>
                <w:sz w:val="21"/>
                <w:szCs w:val="21"/>
                <w:vertAlign w:val="superscript"/>
                <w:lang w:val="en-US" w:eastAsia="zh-CN" w:bidi="ar"/>
              </w:rPr>
              <w:t>-3</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比表面积/m</w:t>
            </w:r>
            <w:r>
              <w:rPr>
                <w:rFonts w:hint="default" w:ascii="Times New Roman" w:hAnsi="Times New Roman" w:eastAsia="宋体" w:cs="Times New Roman"/>
                <w:kern w:val="0"/>
                <w:sz w:val="21"/>
                <w:szCs w:val="21"/>
                <w:vertAlign w:val="superscript"/>
                <w:lang w:val="en-US" w:eastAsia="zh-CN" w:bidi="ar"/>
              </w:rPr>
              <w:t>2</w:t>
            </w:r>
            <w:r>
              <w:rPr>
                <w:rFonts w:hint="default" w:ascii="Times New Roman" w:hAnsi="Times New Roman" w:eastAsia="宋体" w:cs="Times New Roman"/>
                <w:kern w:val="0"/>
                <w:sz w:val="21"/>
                <w:szCs w:val="21"/>
                <w:vertAlign w:val="baseline"/>
                <w:lang w:val="en-US" w:eastAsia="zh-CN" w:bidi="ar"/>
              </w:rPr>
              <w:t xml:space="preserve"> g</w:t>
            </w:r>
            <w:r>
              <w:rPr>
                <w:rFonts w:hint="default" w:ascii="Times New Roman" w:hAnsi="Times New Roman" w:eastAsia="宋体" w:cs="Times New Roman"/>
                <w:kern w:val="0"/>
                <w:sz w:val="21"/>
                <w:szCs w:val="21"/>
                <w:vertAlign w:val="superscript"/>
                <w:lang w:val="en-US" w:eastAsia="zh-CN" w:bidi="ar"/>
              </w:rPr>
              <w:t>-1</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D50/μm</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0.1 C首次放电比容量/mAh g-</w:t>
            </w:r>
            <w:r>
              <w:rPr>
                <w:rFonts w:hint="default" w:ascii="Times New Roman" w:hAnsi="Times New Roman" w:eastAsia="宋体" w:cs="Times New Roman"/>
                <w:kern w:val="0"/>
                <w:sz w:val="21"/>
                <w:szCs w:val="21"/>
                <w:vertAlign w:val="superscript"/>
                <w:lang w:val="en-US" w:eastAsia="zh-CN" w:bidi="ar"/>
              </w:rPr>
              <w:t>1</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0.1C首次放电效率/%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1#样品</w:t>
            </w: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0.05 </w:t>
            </w:r>
          </w:p>
        </w:tc>
        <w:tc>
          <w:tcPr>
            <w:tcW w:w="95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0.20</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12.66</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 xml:space="preserve">2.08 </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 xml:space="preserve">0.25 </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 xml:space="preserve">11.10 </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114.6</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2#样品</w:t>
            </w: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0.14 </w:t>
            </w:r>
          </w:p>
        </w:tc>
        <w:tc>
          <w:tcPr>
            <w:tcW w:w="951" w:type="dxa"/>
            <w:shd w:val="clear" w:color="auto" w:fill="auto"/>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1.19</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12.88</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1.49 </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0.46 </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8.55 </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3#样品</w:t>
            </w: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0.</w:t>
            </w:r>
            <w:r>
              <w:rPr>
                <w:rFonts w:hint="eastAsia" w:cs="Times New Roman"/>
                <w:kern w:val="0"/>
                <w:sz w:val="21"/>
                <w:szCs w:val="21"/>
                <w:vertAlign w:val="baseline"/>
                <w:lang w:val="en-US" w:eastAsia="zh-CN" w:bidi="ar"/>
              </w:rPr>
              <w:t>1</w:t>
            </w:r>
            <w:r>
              <w:rPr>
                <w:rFonts w:hint="eastAsia" w:ascii="Times New Roman" w:hAnsi="Times New Roman" w:eastAsia="宋体" w:cs="Times New Roman"/>
                <w:kern w:val="0"/>
                <w:sz w:val="21"/>
                <w:szCs w:val="21"/>
                <w:vertAlign w:val="baseline"/>
                <w:lang w:val="en-US" w:eastAsia="zh-CN" w:bidi="ar"/>
              </w:rPr>
              <w:t xml:space="preserve">3 </w:t>
            </w:r>
          </w:p>
        </w:tc>
        <w:tc>
          <w:tcPr>
            <w:tcW w:w="95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1</w:t>
            </w:r>
            <w:r>
              <w:rPr>
                <w:rFonts w:hint="eastAsia" w:ascii="Times New Roman" w:hAnsi="Times New Roman" w:eastAsia="宋体" w:cs="Times New Roman"/>
                <w:kern w:val="0"/>
                <w:sz w:val="21"/>
                <w:szCs w:val="21"/>
                <w:vertAlign w:val="baseline"/>
                <w:lang w:val="en-US" w:eastAsia="zh-CN" w:bidi="ar"/>
              </w:rPr>
              <w:t>.59</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12.49</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1.49 </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0.47 </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7.20 </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100.3</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4#样品</w:t>
            </w: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0.19 </w:t>
            </w:r>
          </w:p>
        </w:tc>
        <w:tc>
          <w:tcPr>
            <w:tcW w:w="95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1.53</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12.99</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3.53 </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0.52 </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8.55 </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i w:val="0"/>
                <w:iCs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default" w:ascii="Times New Roman" w:hAnsi="Times New Roman" w:eastAsia="宋体" w:cs="Times New Roman"/>
                <w:kern w:val="0"/>
                <w:sz w:val="21"/>
                <w:szCs w:val="21"/>
                <w:vertAlign w:val="baseline"/>
                <w:lang w:val="en-US" w:eastAsia="zh-CN" w:bidi="ar"/>
              </w:rPr>
              <w:t>5#样品</w:t>
            </w:r>
          </w:p>
        </w:tc>
        <w:tc>
          <w:tcPr>
            <w:tcW w:w="977"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0.13</w:t>
            </w:r>
          </w:p>
        </w:tc>
        <w:tc>
          <w:tcPr>
            <w:tcW w:w="95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w:t>
            </w:r>
          </w:p>
        </w:tc>
        <w:tc>
          <w:tcPr>
            <w:tcW w:w="811"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12.57</w:t>
            </w:r>
          </w:p>
        </w:tc>
        <w:tc>
          <w:tcPr>
            <w:tcW w:w="104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1.87 </w:t>
            </w:r>
          </w:p>
        </w:tc>
        <w:tc>
          <w:tcPr>
            <w:tcW w:w="1090"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0.46</w:t>
            </w:r>
          </w:p>
        </w:tc>
        <w:tc>
          <w:tcPr>
            <w:tcW w:w="912"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ascii="Times New Roman" w:hAnsi="Times New Roman" w:eastAsia="宋体" w:cs="Times New Roman"/>
                <w:kern w:val="0"/>
                <w:sz w:val="21"/>
                <w:szCs w:val="21"/>
                <w:vertAlign w:val="baseline"/>
                <w:lang w:val="en-US" w:eastAsia="zh-CN" w:bidi="ar"/>
              </w:rPr>
              <w:t xml:space="preserve">12.80 </w:t>
            </w:r>
          </w:p>
        </w:tc>
        <w:tc>
          <w:tcPr>
            <w:tcW w:w="1643"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108.6</w:t>
            </w:r>
          </w:p>
        </w:tc>
        <w:tc>
          <w:tcPr>
            <w:tcW w:w="1254" w:type="dxa"/>
            <w:vAlign w:val="center"/>
          </w:tcPr>
          <w:p>
            <w:pPr>
              <w:keepNext w:val="0"/>
              <w:keepLines w:val="0"/>
              <w:pageBreakBefore w:val="0"/>
              <w:widowControl/>
              <w:kinsoku/>
              <w:wordWrap/>
              <w:overflowPunct/>
              <w:topLinePunct w:val="0"/>
              <w:autoSpaceDE w:val="0"/>
              <w:autoSpaceDN w:val="0"/>
              <w:bidi w:val="0"/>
              <w:adjustRightInd/>
              <w:snapToGrid/>
              <w:spacing w:line="360" w:lineRule="exact"/>
              <w:jc w:val="center"/>
              <w:rPr>
                <w:rFonts w:hint="default" w:ascii="Times New Roman" w:hAnsi="Times New Roman" w:eastAsia="宋体" w:cs="Times New Roman"/>
                <w:kern w:val="0"/>
                <w:sz w:val="21"/>
                <w:szCs w:val="21"/>
                <w:vertAlign w:val="baseline"/>
                <w:lang w:val="en-US" w:eastAsia="zh-CN" w:bidi="ar"/>
              </w:rPr>
            </w:pPr>
            <w:r>
              <w:rPr>
                <w:rFonts w:hint="eastAsia" w:cs="Times New Roman"/>
                <w:kern w:val="0"/>
                <w:sz w:val="21"/>
                <w:szCs w:val="21"/>
                <w:vertAlign w:val="baseline"/>
                <w:lang w:val="en-US" w:eastAsia="zh-CN" w:bidi="ar"/>
              </w:rPr>
              <w:t>85.1</w:t>
            </w:r>
          </w:p>
        </w:tc>
      </w:tr>
    </w:tbl>
    <w:p>
      <w:pPr>
        <w:rPr>
          <w:rFonts w:hint="default"/>
          <w:lang w:val="en-US" w:eastAsia="zh-CN"/>
        </w:rPr>
        <w:sectPr>
          <w:footerReference r:id="rId12" w:type="default"/>
          <w:pgSz w:w="11906" w:h="16838"/>
          <w:pgMar w:top="1440" w:right="1083" w:bottom="1440" w:left="1083" w:header="851" w:footer="992" w:gutter="0"/>
          <w:pgNumType w:fmt="decimal"/>
          <w:cols w:space="0" w:num="1"/>
          <w:rtlGutter w:val="0"/>
          <w:docGrid w:type="lines" w:linePitch="314" w:charSpace="0"/>
        </w:sectPr>
      </w:pPr>
    </w:p>
    <w:p>
      <w:pPr>
        <w:pStyle w:val="25"/>
        <w:keepNext w:val="0"/>
        <w:keepLines w:val="0"/>
        <w:pageBreakBefore w:val="0"/>
        <w:numPr>
          <w:ilvl w:val="0"/>
          <w:numId w:val="0"/>
        </w:numPr>
        <w:kinsoku/>
        <w:wordWrap/>
        <w:overflowPunct/>
        <w:topLinePunct w:val="0"/>
        <w:bidi w:val="0"/>
        <w:adjustRightInd/>
        <w:spacing w:line="360" w:lineRule="exact"/>
        <w:ind w:leftChars="0"/>
        <w:jc w:val="both"/>
        <w:rPr>
          <w:rFonts w:hint="default"/>
          <w:sz w:val="24"/>
          <w:szCs w:val="24"/>
          <w:lang w:val="en-US" w:eastAsia="zh-CN"/>
        </w:rPr>
      </w:pPr>
      <w:r>
        <w:rPr>
          <w:rFonts w:hint="eastAsia"/>
          <w:sz w:val="24"/>
          <w:szCs w:val="24"/>
          <w:lang w:val="en-US" w:eastAsia="zh-CN"/>
        </w:rPr>
        <w:t>附表3-3                                         企业1同一样品八平行实测数据</w:t>
      </w:r>
    </w:p>
    <w:tbl>
      <w:tblPr>
        <w:tblStyle w:val="10"/>
        <w:tblW w:w="1390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637"/>
        <w:gridCol w:w="1126"/>
        <w:gridCol w:w="1126"/>
        <w:gridCol w:w="1126"/>
        <w:gridCol w:w="1126"/>
        <w:gridCol w:w="1126"/>
        <w:gridCol w:w="1126"/>
        <w:gridCol w:w="1126"/>
        <w:gridCol w:w="1126"/>
        <w:gridCol w:w="1126"/>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测定次数</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2</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4</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5</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6</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7</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8</w:t>
            </w:r>
          </w:p>
        </w:tc>
        <w:tc>
          <w:tcPr>
            <w:tcW w:w="1126" w:type="dxa"/>
            <w:shd w:val="clear" w:color="auto" w:fill="auto"/>
            <w:noWrap/>
            <w:vAlign w:val="center"/>
          </w:tcPr>
          <w:p>
            <w:pPr>
              <w:jc w:val="center"/>
              <w:rPr>
                <w:rFonts w:hint="eastAsia" w:ascii="等线" w:hAnsi="等线" w:eastAsia="等线" w:cs="等线"/>
                <w:i w:val="0"/>
                <w:iCs w:val="0"/>
                <w:color w:val="auto"/>
                <w:sz w:val="22"/>
                <w:szCs w:val="22"/>
                <w:u w:val="none"/>
                <w:lang w:val="en-US" w:eastAsia="zh-CN"/>
              </w:rPr>
            </w:pPr>
            <w:r>
              <w:rPr>
                <w:rFonts w:hint="eastAsia" w:ascii="等线" w:hAnsi="等线" w:eastAsia="等线" w:cs="等线"/>
                <w:i w:val="0"/>
                <w:iCs w:val="0"/>
                <w:color w:val="auto"/>
                <w:sz w:val="22"/>
                <w:szCs w:val="22"/>
                <w:u w:val="none"/>
                <w:lang w:val="en-US" w:eastAsia="zh-CN"/>
              </w:rPr>
              <w:t>平均值</w:t>
            </w:r>
          </w:p>
        </w:tc>
        <w:tc>
          <w:tcPr>
            <w:tcW w:w="1131" w:type="dxa"/>
            <w:shd w:val="clear" w:color="auto" w:fill="auto"/>
            <w:noWrap/>
            <w:vAlign w:val="center"/>
          </w:tcPr>
          <w:p>
            <w:pPr>
              <w:jc w:val="center"/>
              <w:rPr>
                <w:rFonts w:hint="default" w:ascii="等线" w:hAnsi="等线" w:eastAsia="等线" w:cs="等线"/>
                <w:i w:val="0"/>
                <w:iCs w:val="0"/>
                <w:color w:val="auto"/>
                <w:sz w:val="22"/>
                <w:szCs w:val="22"/>
                <w:u w:val="none"/>
                <w:lang w:val="en-US" w:eastAsia="zh-CN"/>
              </w:rPr>
            </w:pPr>
            <w:r>
              <w:rPr>
                <w:rFonts w:hint="eastAsia" w:ascii="等线" w:hAnsi="等线" w:eastAsia="等线" w:cs="等线"/>
                <w:i w:val="0"/>
                <w:iCs w:val="0"/>
                <w:color w:val="auto"/>
                <w:sz w:val="22"/>
                <w:szCs w:val="22"/>
                <w:u w:val="no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钠（</w:t>
            </w:r>
            <w:r>
              <w:rPr>
                <w:rStyle w:val="42"/>
                <w:rFonts w:hint="default" w:ascii="Times New Roman" w:hAnsi="Times New Roman" w:eastAsia="宋体" w:cs="Times New Roman"/>
                <w:b w:val="0"/>
                <w:bCs w:val="0"/>
                <w:color w:val="auto"/>
                <w:lang w:val="en-US" w:eastAsia="zh-CN" w:bidi="ar"/>
              </w:rPr>
              <w:t>Na</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19.05</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19.26</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19.32</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19.28</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19.39</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19.07</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19.46</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19.27</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铜锰铁（</w:t>
            </w:r>
            <w:r>
              <w:rPr>
                <w:rStyle w:val="42"/>
                <w:rFonts w:hint="default" w:ascii="Times New Roman" w:hAnsi="Times New Roman" w:eastAsia="宋体" w:cs="Times New Roman"/>
                <w:b w:val="0"/>
                <w:bCs w:val="0"/>
                <w:color w:val="auto"/>
                <w:lang w:val="en-US" w:eastAsia="zh-CN" w:bidi="ar"/>
              </w:rPr>
              <w:t>Cu+Mn+Fe</w:t>
            </w:r>
            <w:r>
              <w:rPr>
                <w:rStyle w:val="22"/>
                <w:rFonts w:hint="default" w:ascii="Times New Roman" w:hAnsi="Times New Roman" w:cs="Times New Roman"/>
                <w:b w:val="0"/>
                <w:bCs w:val="0"/>
                <w:color w:val="auto"/>
                <w:lang w:val="en-US" w:eastAsia="zh-CN" w:bidi="ar"/>
              </w:rPr>
              <w:t>，以干基计）总量</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36.58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37.24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37.27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37.48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37.57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37.46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36.95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37.66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37.28</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镉（</w:t>
            </w:r>
            <w:r>
              <w:rPr>
                <w:rStyle w:val="42"/>
                <w:rFonts w:hint="default" w:ascii="Times New Roman" w:hAnsi="Times New Roman" w:eastAsia="宋体" w:cs="Times New Roman"/>
                <w:b w:val="0"/>
                <w:bCs w:val="0"/>
                <w:color w:val="auto"/>
                <w:lang w:val="en-US" w:eastAsia="zh-CN" w:bidi="ar"/>
              </w:rPr>
              <w:t>Cd</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铬（</w:t>
            </w:r>
            <w:r>
              <w:rPr>
                <w:rStyle w:val="42"/>
                <w:rFonts w:hint="default" w:ascii="Times New Roman" w:hAnsi="Times New Roman" w:eastAsia="宋体" w:cs="Times New Roman"/>
                <w:b w:val="0"/>
                <w:bCs w:val="0"/>
                <w:color w:val="auto"/>
                <w:lang w:val="en-US" w:eastAsia="zh-CN" w:bidi="ar"/>
              </w:rPr>
              <w:t>Cr</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0.0003</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0.0003</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铅（</w:t>
            </w:r>
            <w:r>
              <w:rPr>
                <w:rStyle w:val="42"/>
                <w:rFonts w:hint="default" w:ascii="Times New Roman" w:hAnsi="Times New Roman" w:eastAsia="宋体" w:cs="Times New Roman"/>
                <w:b w:val="0"/>
                <w:bCs w:val="0"/>
                <w:color w:val="auto"/>
                <w:lang w:val="en-US" w:eastAsia="zh-CN" w:bidi="ar"/>
              </w:rPr>
              <w:t>Pb</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＜0.0001</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硅（</w:t>
            </w:r>
            <w:r>
              <w:rPr>
                <w:rStyle w:val="42"/>
                <w:rFonts w:hint="default" w:ascii="Times New Roman" w:hAnsi="Times New Roman" w:eastAsia="宋体" w:cs="Times New Roman"/>
                <w:b w:val="0"/>
                <w:bCs w:val="0"/>
                <w:color w:val="auto"/>
                <w:lang w:val="en-US" w:eastAsia="zh-CN" w:bidi="ar"/>
              </w:rPr>
              <w:t>Si</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0.010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0.014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0.013</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硫（</w:t>
            </w:r>
            <w:r>
              <w:rPr>
                <w:rStyle w:val="42"/>
                <w:rFonts w:hint="default" w:ascii="Times New Roman" w:hAnsi="Times New Roman" w:eastAsia="宋体" w:cs="Times New Roman"/>
                <w:b w:val="0"/>
                <w:bCs w:val="0"/>
                <w:color w:val="auto"/>
                <w:lang w:val="en-US" w:eastAsia="zh-CN" w:bidi="ar"/>
              </w:rPr>
              <w:t>S</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0.156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0.152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0.153</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钙（</w:t>
            </w:r>
            <w:r>
              <w:rPr>
                <w:rStyle w:val="42"/>
                <w:rFonts w:hint="default" w:ascii="Times New Roman" w:hAnsi="Times New Roman" w:eastAsia="宋体" w:cs="Times New Roman"/>
                <w:b w:val="0"/>
                <w:bCs w:val="0"/>
                <w:color w:val="auto"/>
                <w:lang w:val="en-US" w:eastAsia="zh-CN" w:bidi="ar"/>
              </w:rPr>
              <w:t>Ca</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0.024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0.023</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镁（</w:t>
            </w:r>
            <w:r>
              <w:rPr>
                <w:rStyle w:val="42"/>
                <w:rFonts w:hint="default" w:ascii="Times New Roman" w:hAnsi="Times New Roman" w:eastAsia="宋体" w:cs="Times New Roman"/>
                <w:b w:val="0"/>
                <w:bCs w:val="0"/>
                <w:color w:val="auto"/>
                <w:lang w:val="en-US" w:eastAsia="zh-CN" w:bidi="ar"/>
              </w:rPr>
              <w:t>Mg</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0.149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0.149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0.160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0.159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0.156</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锌（</w:t>
            </w:r>
            <w:r>
              <w:rPr>
                <w:rStyle w:val="42"/>
                <w:rFonts w:hint="default" w:ascii="Times New Roman" w:hAnsi="Times New Roman" w:eastAsia="宋体" w:cs="Times New Roman"/>
                <w:b w:val="0"/>
                <w:bCs w:val="0"/>
                <w:color w:val="auto"/>
                <w:lang w:val="en-US" w:eastAsia="zh-CN" w:bidi="ar"/>
              </w:rPr>
              <w:t>Zn</w:t>
            </w:r>
            <w:r>
              <w:rPr>
                <w:rStyle w:val="22"/>
                <w:rFonts w:hint="default" w:ascii="Times New Roman" w:hAnsi="Times New Roman" w:cs="Times New Roman"/>
                <w:b w:val="0"/>
                <w:bCs w:val="0"/>
                <w:color w:val="auto"/>
                <w:lang w:val="en-US" w:eastAsia="zh-CN" w:bidi="ar"/>
              </w:rPr>
              <w:t>，以干基计）</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0.043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0.046</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残余钠（</w:t>
            </w:r>
            <w:r>
              <w:rPr>
                <w:rStyle w:val="42"/>
                <w:rFonts w:hint="default" w:ascii="Times New Roman" w:hAnsi="Times New Roman" w:eastAsia="宋体" w:cs="Times New Roman"/>
                <w:b w:val="0"/>
                <w:bCs w:val="0"/>
                <w:color w:val="auto"/>
                <w:lang w:val="en-US" w:eastAsia="zh-CN" w:bidi="ar"/>
              </w:rPr>
              <w:t>Na</w:t>
            </w:r>
            <w:r>
              <w:rPr>
                <w:rStyle w:val="22"/>
                <w:rFonts w:hint="default" w:ascii="Times New Roman" w:hAnsi="Times New Roman" w:cs="Times New Roman"/>
                <w:b w:val="0"/>
                <w:bCs w:val="0"/>
                <w:color w:val="auto"/>
                <w:lang w:val="en-US" w:eastAsia="zh-CN" w:bidi="ar"/>
              </w:rPr>
              <w:t>）</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1.7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1.8</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磁性异物</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0.000160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0.000118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0.000144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0.000151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0.000093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0.000156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0.000131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0.000090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0.000130</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0.000028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auto"/>
                <w:sz w:val="21"/>
                <w:szCs w:val="21"/>
                <w:u w:val="none"/>
              </w:rPr>
            </w:pPr>
            <w:r>
              <w:rPr>
                <w:rFonts w:hint="default" w:ascii="Times New Roman" w:hAnsi="Times New Roman" w:eastAsia="宋体" w:cs="Times New Roman"/>
                <w:b w:val="0"/>
                <w:bCs w:val="0"/>
                <w:i w:val="0"/>
                <w:iCs w:val="0"/>
                <w:color w:val="auto"/>
                <w:kern w:val="0"/>
                <w:sz w:val="21"/>
                <w:szCs w:val="21"/>
                <w:u w:val="none"/>
                <w:lang w:val="en-US" w:eastAsia="zh-CN" w:bidi="ar"/>
              </w:rPr>
              <w:t>水分</w:t>
            </w:r>
            <w:r>
              <w:rPr>
                <w:rStyle w:val="23"/>
                <w:rFonts w:hint="default" w:ascii="Times New Roman" w:hAnsi="Times New Roman" w:eastAsia="宋体" w:cs="Times New Roman"/>
                <w:b w:val="0"/>
                <w:bCs w:val="0"/>
                <w:i/>
                <w:iCs/>
                <w:color w:val="auto"/>
                <w:lang w:val="en-US" w:eastAsia="zh-CN" w:bidi="ar"/>
              </w:rPr>
              <w:t>w</w:t>
            </w:r>
            <w:r>
              <w:rPr>
                <w:rStyle w:val="42"/>
                <w:rFonts w:hint="default" w:ascii="Times New Roman" w:hAnsi="Times New Roman" w:eastAsia="宋体"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 xml:space="preserve">31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 xml:space="preserve">34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2</w:t>
            </w:r>
            <w:r>
              <w:rPr>
                <w:rFonts w:hint="eastAsia" w:ascii="Times New Roman" w:hAnsi="Times New Roman" w:eastAsia="宋体" w:cs="Times New Roman"/>
                <w:i w:val="0"/>
                <w:iCs w:val="0"/>
                <w:color w:val="auto"/>
                <w:kern w:val="0"/>
                <w:sz w:val="21"/>
                <w:szCs w:val="21"/>
                <w:u w:val="none"/>
                <w:lang w:val="en-US" w:eastAsia="zh-CN" w:bidi="ar"/>
              </w:rPr>
              <w:t>4</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2</w:t>
            </w:r>
            <w:r>
              <w:rPr>
                <w:rFonts w:hint="eastAsia" w:ascii="Times New Roman" w:hAnsi="Times New Roman" w:eastAsia="宋体" w:cs="Times New Roman"/>
                <w:i w:val="0"/>
                <w:iCs w:val="0"/>
                <w:color w:val="auto"/>
                <w:kern w:val="0"/>
                <w:sz w:val="21"/>
                <w:szCs w:val="21"/>
                <w:u w:val="none"/>
                <w:lang w:val="en-US" w:eastAsia="zh-CN" w:bidi="ar"/>
              </w:rPr>
              <w:t>7</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 xml:space="preserve">28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4</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eastAsia" w:ascii="Times New Roman" w:hAnsi="Times New Roman" w:eastAsia="宋体" w:cs="Times New Roman"/>
                <w:i w:val="0"/>
                <w:iCs w:val="0"/>
                <w:color w:val="auto"/>
                <w:kern w:val="0"/>
                <w:sz w:val="21"/>
                <w:szCs w:val="21"/>
                <w:u w:val="none"/>
                <w:lang w:val="en-US" w:eastAsia="zh-CN" w:bidi="ar"/>
              </w:rPr>
              <w:t>0.0</w:t>
            </w:r>
            <w:r>
              <w:rPr>
                <w:rFonts w:hint="default" w:ascii="Times New Roman" w:hAnsi="Times New Roman" w:eastAsia="宋体" w:cs="Times New Roman"/>
                <w:i w:val="0"/>
                <w:iCs w:val="0"/>
                <w:color w:val="auto"/>
                <w:kern w:val="0"/>
                <w:sz w:val="21"/>
                <w:szCs w:val="21"/>
                <w:u w:val="none"/>
                <w:lang w:val="en-US" w:eastAsia="zh-CN" w:bidi="ar"/>
              </w:rPr>
              <w:t xml:space="preserve">27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lang w:val="en-US"/>
              </w:rPr>
            </w:pPr>
            <w:r>
              <w:rPr>
                <w:rFonts w:hint="eastAsia" w:ascii="Times New Roman" w:hAnsi="Times New Roman" w:eastAsia="等线" w:cs="Times New Roman"/>
                <w:i w:val="0"/>
                <w:iCs w:val="0"/>
                <w:color w:val="auto"/>
                <w:kern w:val="0"/>
                <w:sz w:val="21"/>
                <w:szCs w:val="21"/>
                <w:u w:val="none"/>
                <w:lang w:val="en-US" w:eastAsia="zh-CN" w:bidi="ar"/>
              </w:rPr>
              <w:t>0.030</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eastAsia" w:ascii="Times New Roman" w:hAnsi="Times New Roman" w:eastAsia="等线" w:cs="Times New Roman"/>
                <w:i w:val="0"/>
                <w:iCs w:val="0"/>
                <w:color w:val="auto"/>
                <w:kern w:val="0"/>
                <w:sz w:val="21"/>
                <w:szCs w:val="21"/>
                <w:u w:val="none"/>
                <w:lang w:val="en-US" w:eastAsia="zh-CN" w:bidi="ar"/>
              </w:rPr>
              <w:t>0.00</w:t>
            </w:r>
            <w:bookmarkStart w:id="3" w:name="_GoBack"/>
            <w:bookmarkEnd w:id="3"/>
            <w:r>
              <w:rPr>
                <w:rFonts w:hint="default" w:ascii="Times New Roman" w:hAnsi="Times New Roman" w:eastAsia="等线" w:cs="Times New Roman"/>
                <w:i w:val="0"/>
                <w:iCs w:val="0"/>
                <w:color w:val="auto"/>
                <w:kern w:val="0"/>
                <w:sz w:val="21"/>
                <w:szCs w:val="21"/>
                <w:u w:val="none"/>
                <w:lang w:val="en-US" w:eastAsia="zh-CN" w:bidi="ar"/>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left"/>
              <w:textAlignment w:val="center"/>
              <w:rPr>
                <w:rFonts w:hint="default" w:ascii="Times New Roman" w:hAnsi="Times New Roman" w:eastAsia="等线" w:cs="Times New Roman"/>
                <w:b w:val="0"/>
                <w:bCs w:val="0"/>
                <w:i w:val="0"/>
                <w:iCs w:val="0"/>
                <w:color w:val="auto"/>
                <w:sz w:val="21"/>
                <w:szCs w:val="21"/>
                <w:u w:val="none"/>
              </w:rPr>
            </w:pPr>
            <w:r>
              <w:rPr>
                <w:rStyle w:val="42"/>
                <w:rFonts w:hint="default" w:ascii="Times New Roman" w:hAnsi="Times New Roman" w:eastAsia="等线" w:cs="Times New Roman"/>
                <w:b w:val="0"/>
                <w:bCs w:val="0"/>
                <w:color w:val="auto"/>
                <w:lang w:val="en-US" w:eastAsia="zh-CN" w:bidi="ar"/>
              </w:rPr>
              <w:t>pH</w:t>
            </w:r>
            <w:r>
              <w:rPr>
                <w:rStyle w:val="22"/>
                <w:rFonts w:hint="default" w:ascii="Times New Roman" w:hAnsi="Times New Roman" w:cs="Times New Roman"/>
                <w:b w:val="0"/>
                <w:bCs w:val="0"/>
                <w:color w:val="auto"/>
                <w:lang w:val="en-US" w:eastAsia="zh-CN" w:bidi="ar"/>
              </w:rPr>
              <w:t>（</w:t>
            </w:r>
            <w:r>
              <w:rPr>
                <w:rStyle w:val="42"/>
                <w:rFonts w:hint="default" w:ascii="Times New Roman" w:hAnsi="Times New Roman" w:eastAsia="等线" w:cs="Times New Roman"/>
                <w:b w:val="0"/>
                <w:bCs w:val="0"/>
                <w:color w:val="auto"/>
                <w:lang w:val="en-US" w:eastAsia="zh-CN" w:bidi="ar"/>
              </w:rPr>
              <w:t>100g/L</w:t>
            </w:r>
            <w:r>
              <w:rPr>
                <w:rStyle w:val="22"/>
                <w:rFonts w:hint="default" w:ascii="Times New Roman" w:hAnsi="Times New Roman" w:cs="Times New Roman"/>
                <w:b w:val="0"/>
                <w:bCs w:val="0"/>
                <w:color w:val="auto"/>
                <w:lang w:val="en-US" w:eastAsia="zh-CN" w:bidi="ar"/>
              </w:rPr>
              <w:t>上清液）</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12.29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12.30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12.31</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振实密度</w:t>
            </w:r>
            <w:r>
              <w:rPr>
                <w:rStyle w:val="42"/>
                <w:rFonts w:hint="default" w:ascii="Times New Roman" w:hAnsi="Times New Roman" w:eastAsia="宋体" w:cs="Times New Roman"/>
                <w:b w:val="0"/>
                <w:bCs w:val="0"/>
                <w:color w:val="auto"/>
                <w:lang w:val="en-US" w:eastAsia="zh-CN" w:bidi="ar"/>
              </w:rPr>
              <w:t>/</w:t>
            </w:r>
            <w:r>
              <w:rPr>
                <w:rStyle w:val="22"/>
                <w:rFonts w:hint="default" w:ascii="Times New Roman" w:hAnsi="Times New Roman" w:cs="Times New Roman"/>
                <w:b w:val="0"/>
                <w:bCs w:val="0"/>
                <w:color w:val="auto"/>
                <w:lang w:val="en-US" w:eastAsia="zh-CN" w:bidi="ar"/>
              </w:rPr>
              <w:t>（</w:t>
            </w:r>
            <w:r>
              <w:rPr>
                <w:rStyle w:val="42"/>
                <w:rFonts w:hint="default" w:ascii="Times New Roman" w:hAnsi="Times New Roman" w:eastAsia="宋体" w:cs="Times New Roman"/>
                <w:b w:val="0"/>
                <w:bCs w:val="0"/>
                <w:color w:val="auto"/>
                <w:lang w:val="en-US" w:eastAsia="zh-CN" w:bidi="ar"/>
              </w:rPr>
              <w:t>g/cm</w:t>
            </w:r>
            <w:r>
              <w:rPr>
                <w:rStyle w:val="24"/>
                <w:rFonts w:hint="default" w:ascii="Times New Roman" w:hAnsi="Times New Roman" w:eastAsia="宋体" w:cs="Times New Roman"/>
                <w:b w:val="0"/>
                <w:bCs w:val="0"/>
                <w:color w:val="auto"/>
                <w:vertAlign w:val="superscript"/>
                <w:lang w:val="en-US" w:eastAsia="zh-CN" w:bidi="ar"/>
              </w:rPr>
              <w:t>3</w:t>
            </w:r>
            <w:r>
              <w:rPr>
                <w:rStyle w:val="22"/>
                <w:rFonts w:hint="default" w:ascii="Times New Roman" w:hAnsi="Times New Roman"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1.77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1.89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1.85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1.97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1.81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1.89</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粒度分布（</w:t>
            </w:r>
            <w:r>
              <w:rPr>
                <w:rStyle w:val="42"/>
                <w:rFonts w:hint="default" w:ascii="Times New Roman" w:hAnsi="Times New Roman" w:eastAsia="宋体" w:cs="Times New Roman"/>
                <w:b w:val="0"/>
                <w:bCs w:val="0"/>
                <w:color w:val="auto"/>
                <w:lang w:val="en-US" w:eastAsia="zh-CN" w:bidi="ar"/>
              </w:rPr>
              <w:t>D</w:t>
            </w:r>
            <w:r>
              <w:rPr>
                <w:rStyle w:val="18"/>
                <w:rFonts w:hint="default" w:ascii="Times New Roman" w:hAnsi="Times New Roman" w:eastAsia="宋体" w:cs="Times New Roman"/>
                <w:b w:val="0"/>
                <w:bCs w:val="0"/>
                <w:color w:val="auto"/>
                <w:vertAlign w:val="subscript"/>
                <w:lang w:val="en-US" w:eastAsia="zh-CN" w:bidi="ar"/>
              </w:rPr>
              <w:t>50</w:t>
            </w:r>
            <w:r>
              <w:rPr>
                <w:rStyle w:val="22"/>
                <w:rFonts w:hint="default" w:ascii="Times New Roman" w:hAnsi="Times New Roman" w:cs="Times New Roman"/>
                <w:b w:val="0"/>
                <w:bCs w:val="0"/>
                <w:color w:val="auto"/>
                <w:lang w:val="en-US" w:eastAsia="zh-CN" w:bidi="ar"/>
              </w:rPr>
              <w:t>）</w:t>
            </w:r>
            <w:r>
              <w:rPr>
                <w:rStyle w:val="42"/>
                <w:rFonts w:hint="default" w:ascii="Times New Roman" w:hAnsi="Times New Roman" w:eastAsia="宋体" w:cs="Times New Roman"/>
                <w:b w:val="0"/>
                <w:bCs w:val="0"/>
                <w:color w:val="auto"/>
                <w:lang w:val="en-US" w:eastAsia="zh-CN" w:bidi="ar"/>
              </w:rPr>
              <w:t>/μm</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11.46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11.13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10.88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10.91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10.86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11.01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11.02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11.48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11.09</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637" w:type="dxa"/>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b w:val="0"/>
                <w:bCs w:val="0"/>
                <w:i w:val="0"/>
                <w:iCs w:val="0"/>
                <w:color w:val="auto"/>
                <w:sz w:val="21"/>
                <w:szCs w:val="21"/>
                <w:u w:val="none"/>
              </w:rPr>
            </w:pPr>
            <w:r>
              <w:rPr>
                <w:rStyle w:val="22"/>
                <w:rFonts w:hint="default" w:ascii="Times New Roman" w:hAnsi="Times New Roman" w:cs="Times New Roman"/>
                <w:b w:val="0"/>
                <w:bCs w:val="0"/>
                <w:color w:val="auto"/>
                <w:lang w:val="en-US" w:eastAsia="zh-CN" w:bidi="ar"/>
              </w:rPr>
              <w:t>比表面积</w:t>
            </w:r>
            <w:r>
              <w:rPr>
                <w:rStyle w:val="42"/>
                <w:rFonts w:hint="default" w:ascii="Times New Roman" w:hAnsi="Times New Roman" w:eastAsia="宋体" w:cs="Times New Roman"/>
                <w:b w:val="0"/>
                <w:bCs w:val="0"/>
                <w:color w:val="auto"/>
                <w:lang w:val="en-US" w:eastAsia="zh-CN" w:bidi="ar"/>
              </w:rPr>
              <w:t>/</w:t>
            </w:r>
            <w:r>
              <w:rPr>
                <w:rStyle w:val="22"/>
                <w:rFonts w:hint="default" w:ascii="Times New Roman" w:hAnsi="Times New Roman" w:cs="Times New Roman"/>
                <w:b w:val="0"/>
                <w:bCs w:val="0"/>
                <w:color w:val="auto"/>
                <w:lang w:val="en-US" w:eastAsia="zh-CN" w:bidi="ar"/>
              </w:rPr>
              <w:t>（</w:t>
            </w:r>
            <w:r>
              <w:rPr>
                <w:rStyle w:val="42"/>
                <w:rFonts w:hint="default" w:ascii="Times New Roman" w:hAnsi="Times New Roman" w:eastAsia="宋体" w:cs="Times New Roman"/>
                <w:b w:val="0"/>
                <w:bCs w:val="0"/>
                <w:color w:val="auto"/>
                <w:lang w:val="en-US" w:eastAsia="zh-CN" w:bidi="ar"/>
              </w:rPr>
              <w:t>m</w:t>
            </w:r>
            <w:r>
              <w:rPr>
                <w:rStyle w:val="24"/>
                <w:rFonts w:hint="default" w:ascii="Times New Roman" w:hAnsi="Times New Roman" w:eastAsia="宋体" w:cs="Times New Roman"/>
                <w:b w:val="0"/>
                <w:bCs w:val="0"/>
                <w:color w:val="auto"/>
                <w:vertAlign w:val="superscript"/>
                <w:lang w:val="en-US" w:eastAsia="zh-CN" w:bidi="ar"/>
              </w:rPr>
              <w:t>2</w:t>
            </w:r>
            <w:r>
              <w:rPr>
                <w:rStyle w:val="42"/>
                <w:rFonts w:hint="default" w:ascii="Times New Roman" w:hAnsi="Times New Roman" w:eastAsia="宋体" w:cs="Times New Roman"/>
                <w:b w:val="0"/>
                <w:bCs w:val="0"/>
                <w:color w:val="auto"/>
                <w:lang w:val="en-US" w:eastAsia="zh-CN" w:bidi="ar"/>
              </w:rPr>
              <w:t>/g</w:t>
            </w:r>
            <w:r>
              <w:rPr>
                <w:rStyle w:val="22"/>
                <w:rFonts w:hint="default" w:ascii="Times New Roman" w:hAnsi="Times New Roman" w:cs="Times New Roman"/>
                <w:b w:val="0"/>
                <w:bCs w:val="0"/>
                <w:color w:val="auto"/>
                <w:lang w:val="en-US" w:eastAsia="zh-CN" w:bidi="ar"/>
              </w:rPr>
              <w:t>）</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0.347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0.412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0.352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0.354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0.220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0.414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0.323 </w:t>
            </w:r>
          </w:p>
        </w:tc>
        <w:tc>
          <w:tcPr>
            <w:tcW w:w="1126" w:type="dxa"/>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0.429 </w:t>
            </w:r>
          </w:p>
        </w:tc>
        <w:tc>
          <w:tcPr>
            <w:tcW w:w="1126"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0.356</w:t>
            </w:r>
          </w:p>
        </w:tc>
        <w:tc>
          <w:tcPr>
            <w:tcW w:w="113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auto"/>
                <w:sz w:val="21"/>
                <w:szCs w:val="21"/>
                <w:u w:val="none"/>
              </w:rPr>
            </w:pPr>
            <w:r>
              <w:rPr>
                <w:rFonts w:hint="default" w:ascii="Times New Roman" w:hAnsi="Times New Roman" w:eastAsia="等线" w:cs="Times New Roman"/>
                <w:i w:val="0"/>
                <w:iCs w:val="0"/>
                <w:color w:val="auto"/>
                <w:kern w:val="0"/>
                <w:sz w:val="21"/>
                <w:szCs w:val="21"/>
                <w:u w:val="none"/>
                <w:lang w:val="en-US" w:eastAsia="zh-CN" w:bidi="ar"/>
              </w:rPr>
              <w:t>0.067</w:t>
            </w:r>
          </w:p>
        </w:tc>
      </w:tr>
    </w:tbl>
    <w:p>
      <w:pPr>
        <w:pStyle w:val="2"/>
        <w:rPr>
          <w:rFonts w:hint="default"/>
          <w:lang w:val="en-US" w:eastAsia="zh-CN"/>
        </w:rPr>
      </w:pPr>
    </w:p>
    <w:sectPr>
      <w:pgSz w:w="16838" w:h="11906" w:orient="landscape"/>
      <w:pgMar w:top="1083" w:right="1440" w:bottom="1083" w:left="1440" w:header="851" w:footer="992" w:gutter="0"/>
      <w:paperSrc/>
      <w:pgNumType w:fmt="decimal"/>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等线">
    <w:panose1 w:val="02010600030101010101"/>
    <w:charset w:val="86"/>
    <w:family w:val="auto"/>
    <w:pitch w:val="default"/>
    <w:sig w:usb0="A00002BF" w:usb1="38CF7CFA" w:usb2="00000016" w:usb3="00000000" w:csb0="0004000F" w:csb1="00000000"/>
  </w:font>
  <w:font w:name="Microsoft JhengHei UI">
    <w:panose1 w:val="020B0604030504040204"/>
    <w:charset w:val="88"/>
    <w:family w:val="auto"/>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2759393"/>
      <w:docPartObj>
        <w:docPartGallery w:val="autotext"/>
      </w:docPartObj>
    </w:sdtPr>
    <w:sdtContent>
      <w:sdt>
        <w:sdtPr>
          <w:id w:val="1728636285"/>
          <w:docPartObj>
            <w:docPartGallery w:val="autotext"/>
          </w:docPartObj>
        </w:sdtPr>
        <w:sdtContent>
          <w:p>
            <w:pPr>
              <w:pStyle w:val="5"/>
              <w:ind w:right="210"/>
              <w:jc w:val="center"/>
            </w:pPr>
          </w:p>
        </w:sdtContent>
      </w:sdt>
    </w:sdtContent>
  </w:sdt>
  <w:p>
    <w:pPr>
      <w:pStyle w:val="5"/>
      <w:ind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fldChar w:fldCharType="begin"/>
    </w:r>
    <w:r>
      <w:instrText xml:space="preserve">PAGE   \* MERGEFORMAT</w:instrText>
    </w:r>
    <w:r>
      <w:fldChar w:fldCharType="separate"/>
    </w:r>
    <w:r>
      <w:rPr>
        <w:lang w:val="zh-CN"/>
      </w:rPr>
      <w:t>5</w:t>
    </w:r>
    <w:r>
      <w:fldChar w:fldCharType="end"/>
    </w:r>
  </w:p>
  <w:p>
    <w:pPr>
      <w:pStyle w:val="5"/>
      <w:ind w:right="360"/>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4"/>
        <w:rFonts w:hint="eastAsia" w:ascii="黑体" w:eastAsia="黑体"/>
        <w:sz w:val="21"/>
        <w:szCs w:val="21"/>
      </w:rPr>
    </w:pPr>
    <w:r>
      <w:rPr>
        <w:rStyle w:val="14"/>
        <w:rFonts w:hint="eastAsia" w:ascii="黑体" w:eastAsia="黑体"/>
        <w:sz w:val="21"/>
        <w:szCs w:val="21"/>
      </w:rPr>
      <w:fldChar w:fldCharType="begin"/>
    </w:r>
    <w:r>
      <w:rPr>
        <w:rStyle w:val="14"/>
        <w:rFonts w:hint="eastAsia" w:ascii="黑体" w:eastAsia="黑体"/>
        <w:sz w:val="21"/>
        <w:szCs w:val="21"/>
      </w:rPr>
      <w:instrText xml:space="preserve">PAGE  </w:instrText>
    </w:r>
    <w:r>
      <w:rPr>
        <w:rStyle w:val="14"/>
        <w:rFonts w:hint="eastAsia" w:ascii="黑体" w:eastAsia="黑体"/>
        <w:sz w:val="21"/>
        <w:szCs w:val="21"/>
      </w:rPr>
      <w:fldChar w:fldCharType="separate"/>
    </w:r>
    <w:r>
      <w:rPr>
        <w:rStyle w:val="14"/>
        <w:rFonts w:ascii="黑体" w:eastAsia="黑体"/>
        <w:sz w:val="21"/>
        <w:szCs w:val="21"/>
      </w:rPr>
      <w:t>54</w:t>
    </w:r>
    <w:r>
      <w:rPr>
        <w:rStyle w:val="14"/>
        <w:rFonts w:hint="eastAsia" w:ascii="黑体" w:eastAsia="黑体"/>
        <w:sz w:val="21"/>
        <w:szCs w:val="21"/>
      </w:rPr>
      <w:fldChar w:fldCharType="end"/>
    </w:r>
  </w:p>
  <w:p>
    <w:pPr>
      <w:pStyle w:val="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jc w:val="both"/>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jc w:val="both"/>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10"/>
      <w:jc w:val="both"/>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rFonts w:hint="eastAsia" w:ascii="黑体" w:eastAsia="黑体"/>
        <w:sz w:val="18"/>
        <w:szCs w:val="18"/>
      </w:rPr>
    </w:pPr>
    <w:r>
      <w:rPr>
        <w:rFonts w:hint="eastAsia" w:ascii="黑体" w:eastAsia="黑体"/>
        <w:sz w:val="18"/>
        <w:szCs w:val="18"/>
      </w:rPr>
      <w:t>修订工业硅溶胶化工行业标准编制说明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FA0F5"/>
    <w:multiLevelType w:val="singleLevel"/>
    <w:tmpl w:val="D76FA0F5"/>
    <w:lvl w:ilvl="0" w:tentative="0">
      <w:start w:val="1"/>
      <w:numFmt w:val="decimal"/>
      <w:suff w:val="nothing"/>
      <w:lvlText w:val="%1、"/>
      <w:lvlJc w:val="left"/>
    </w:lvl>
  </w:abstractNum>
  <w:abstractNum w:abstractNumId="1">
    <w:nsid w:val="F110A31A"/>
    <w:multiLevelType w:val="singleLevel"/>
    <w:tmpl w:val="F110A31A"/>
    <w:lvl w:ilvl="0" w:tentative="0">
      <w:start w:val="1"/>
      <w:numFmt w:val="decimal"/>
      <w:lvlText w:val="%1)"/>
      <w:lvlJc w:val="left"/>
      <w:pPr>
        <w:ind w:left="425" w:hanging="425"/>
      </w:pPr>
      <w:rPr>
        <w:rFonts w:hint="default"/>
      </w:rPr>
    </w:lvl>
  </w:abstractNum>
  <w:abstractNum w:abstractNumId="2">
    <w:nsid w:val="FBC7AC3A"/>
    <w:multiLevelType w:val="multilevel"/>
    <w:tmpl w:val="FBC7AC3A"/>
    <w:lvl w:ilvl="0" w:tentative="0">
      <w:start w:val="1"/>
      <w:numFmt w:val="decimal"/>
      <w:lvlText w:val="%1)"/>
      <w:lvlJc w:val="left"/>
      <w:pPr>
        <w:ind w:left="928" w:hanging="360"/>
      </w:pPr>
      <w:rPr>
        <w:rFonts w:hint="default"/>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0ACCAA58"/>
    <w:multiLevelType w:val="singleLevel"/>
    <w:tmpl w:val="0ACCAA58"/>
    <w:lvl w:ilvl="0" w:tentative="0">
      <w:start w:val="1"/>
      <w:numFmt w:val="decimal"/>
      <w:lvlText w:val="%1)"/>
      <w:lvlJc w:val="left"/>
      <w:pPr>
        <w:ind w:left="425" w:hanging="425"/>
      </w:pPr>
      <w:rPr>
        <w:rFonts w:hint="default"/>
      </w:rPr>
    </w:lvl>
  </w:abstractNum>
  <w:abstractNum w:abstractNumId="4">
    <w:nsid w:val="22107447"/>
    <w:multiLevelType w:val="multilevel"/>
    <w:tmpl w:val="22107447"/>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F7D5C04"/>
    <w:multiLevelType w:val="multilevel"/>
    <w:tmpl w:val="3F7D5C04"/>
    <w:lvl w:ilvl="0" w:tentative="0">
      <w:start w:val="1"/>
      <w:numFmt w:val="chineseCountingThousand"/>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DC640B1"/>
    <w:multiLevelType w:val="multilevel"/>
    <w:tmpl w:val="5DC640B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64C30A5"/>
    <w:multiLevelType w:val="multilevel"/>
    <w:tmpl w:val="664C30A5"/>
    <w:lvl w:ilvl="0" w:tentative="0">
      <w:start w:val="1"/>
      <w:numFmt w:val="decimal"/>
      <w:lvlText w:val="%1)"/>
      <w:lvlJc w:val="left"/>
      <w:pPr>
        <w:ind w:left="928" w:hanging="360"/>
      </w:pPr>
      <w:rPr>
        <w:rFonts w:hint="default"/>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8">
    <w:nsid w:val="667B51DC"/>
    <w:multiLevelType w:val="multilevel"/>
    <w:tmpl w:val="667B51DC"/>
    <w:lvl w:ilvl="0" w:tentative="0">
      <w:start w:val="1"/>
      <w:numFmt w:val="decimal"/>
      <w:pStyle w:val="25"/>
      <w:lvlText w:val="表%1"/>
      <w:lvlJc w:val="center"/>
      <w:pPr>
        <w:ind w:left="420" w:hanging="420"/>
      </w:pPr>
      <w:rPr>
        <w:rFonts w:hint="eastAsia" w:ascii="黑体" w:hAnsi="黑体" w:eastAsia="黑体"/>
        <w:b w:val="0"/>
        <w:bCs w:val="0"/>
        <w:sz w:val="21"/>
        <w:szCs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29"/>
      <w:suff w:val="nothing"/>
      <w:lvlText w:val="%1%2.%3　"/>
      <w:lvlJc w:val="left"/>
      <w:pPr>
        <w:ind w:left="142" w:firstLine="0"/>
      </w:pPr>
      <w:rPr>
        <w:rFonts w:hint="eastAsia" w:ascii="黑体" w:hAnsi="Times New Roman" w:eastAsia="黑体"/>
        <w:b w:val="0"/>
        <w:i w:val="0"/>
        <w:sz w:val="21"/>
      </w:rPr>
    </w:lvl>
    <w:lvl w:ilvl="3" w:tentative="0">
      <w:start w:val="1"/>
      <w:numFmt w:val="decimal"/>
      <w:pStyle w:val="39"/>
      <w:suff w:val="nothing"/>
      <w:lvlText w:val="%1%2.%3.%4　"/>
      <w:lvlJc w:val="left"/>
      <w:pPr>
        <w:ind w:left="0" w:firstLine="0"/>
      </w:pPr>
      <w:rPr>
        <w:rFonts w:hint="eastAsia" w:ascii="黑体" w:hAnsi="Times New Roman" w:eastAsia="黑体"/>
        <w:b w:val="0"/>
        <w:i w:val="0"/>
        <w:sz w:val="21"/>
      </w:rPr>
    </w:lvl>
    <w:lvl w:ilvl="4" w:tentative="0">
      <w:start w:val="1"/>
      <w:numFmt w:val="decimal"/>
      <w:pStyle w:val="48"/>
      <w:suff w:val="nothing"/>
      <w:lvlText w:val="%1%2.%3.%4.%5　"/>
      <w:lvlJc w:val="left"/>
      <w:pPr>
        <w:ind w:left="735" w:firstLine="0"/>
      </w:pPr>
      <w:rPr>
        <w:rFonts w:hint="eastAsia" w:ascii="黑体" w:hAnsi="Times New Roman" w:eastAsia="黑体"/>
        <w:b w:val="0"/>
        <w:i w:val="0"/>
        <w:sz w:val="21"/>
      </w:rPr>
    </w:lvl>
    <w:lvl w:ilvl="5" w:tentative="0">
      <w:start w:val="1"/>
      <w:numFmt w:val="decimal"/>
      <w:pStyle w:val="4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72A8DF0A"/>
    <w:multiLevelType w:val="singleLevel"/>
    <w:tmpl w:val="72A8DF0A"/>
    <w:lvl w:ilvl="0" w:tentative="0">
      <w:start w:val="1"/>
      <w:numFmt w:val="chineseCounting"/>
      <w:suff w:val="nothing"/>
      <w:lvlText w:val="%1、"/>
      <w:lvlJc w:val="left"/>
      <w:pPr>
        <w:ind w:left="0" w:firstLine="420"/>
      </w:pPr>
      <w:rPr>
        <w:rFonts w:hint="eastAsia"/>
      </w:rPr>
    </w:lvl>
  </w:abstractNum>
  <w:abstractNum w:abstractNumId="11">
    <w:nsid w:val="74B54E5B"/>
    <w:multiLevelType w:val="multilevel"/>
    <w:tmpl w:val="74B54E5B"/>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9"/>
  </w:num>
  <w:num w:numId="3">
    <w:abstractNumId w:val="10"/>
  </w:num>
  <w:num w:numId="4">
    <w:abstractNumId w:val="5"/>
  </w:num>
  <w:num w:numId="5">
    <w:abstractNumId w:val="6"/>
  </w:num>
  <w:num w:numId="6">
    <w:abstractNumId w:val="4"/>
  </w:num>
  <w:num w:numId="7">
    <w:abstractNumId w:val="7"/>
  </w:num>
  <w:num w:numId="8">
    <w:abstractNumId w:val="2"/>
  </w:num>
  <w:num w:numId="9">
    <w:abstractNumId w:val="11"/>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7"/>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5ZmI1NjdjNjEyNWU1ZDkxMWNmODkwNmY3ZmZkNmQifQ=="/>
  </w:docVars>
  <w:rsids>
    <w:rsidRoot w:val="007D5B55"/>
    <w:rsid w:val="000A0929"/>
    <w:rsid w:val="000B0578"/>
    <w:rsid w:val="000E79D1"/>
    <w:rsid w:val="000F71AA"/>
    <w:rsid w:val="00196D9E"/>
    <w:rsid w:val="001A108C"/>
    <w:rsid w:val="001B50BE"/>
    <w:rsid w:val="001B5A12"/>
    <w:rsid w:val="002F5467"/>
    <w:rsid w:val="003B44A9"/>
    <w:rsid w:val="003E1A50"/>
    <w:rsid w:val="004731E9"/>
    <w:rsid w:val="00581133"/>
    <w:rsid w:val="005C02EC"/>
    <w:rsid w:val="005D2B74"/>
    <w:rsid w:val="005E4418"/>
    <w:rsid w:val="00616035"/>
    <w:rsid w:val="00647000"/>
    <w:rsid w:val="006C2A17"/>
    <w:rsid w:val="007142A2"/>
    <w:rsid w:val="007B6181"/>
    <w:rsid w:val="007C6901"/>
    <w:rsid w:val="007D5B55"/>
    <w:rsid w:val="007D7FF1"/>
    <w:rsid w:val="00822CD3"/>
    <w:rsid w:val="00862C9A"/>
    <w:rsid w:val="009303DF"/>
    <w:rsid w:val="00944FC5"/>
    <w:rsid w:val="00967558"/>
    <w:rsid w:val="009D66BC"/>
    <w:rsid w:val="00A07ABD"/>
    <w:rsid w:val="00AE0C1D"/>
    <w:rsid w:val="00C358A1"/>
    <w:rsid w:val="00C90C75"/>
    <w:rsid w:val="00CA00C3"/>
    <w:rsid w:val="00CA5284"/>
    <w:rsid w:val="00CE4FC1"/>
    <w:rsid w:val="00D10F69"/>
    <w:rsid w:val="00DF1B02"/>
    <w:rsid w:val="00DF27D7"/>
    <w:rsid w:val="00E201DA"/>
    <w:rsid w:val="00E4578A"/>
    <w:rsid w:val="00EF213E"/>
    <w:rsid w:val="00F46AF2"/>
    <w:rsid w:val="015B7363"/>
    <w:rsid w:val="0193486B"/>
    <w:rsid w:val="01A91CEF"/>
    <w:rsid w:val="01D0125D"/>
    <w:rsid w:val="023852BF"/>
    <w:rsid w:val="027A0EFC"/>
    <w:rsid w:val="02D43957"/>
    <w:rsid w:val="03C40B69"/>
    <w:rsid w:val="03E67B70"/>
    <w:rsid w:val="03F81BB3"/>
    <w:rsid w:val="043B2184"/>
    <w:rsid w:val="04A173A1"/>
    <w:rsid w:val="04F22EC4"/>
    <w:rsid w:val="0500633D"/>
    <w:rsid w:val="057A6063"/>
    <w:rsid w:val="059840C4"/>
    <w:rsid w:val="05D44CC2"/>
    <w:rsid w:val="05E00398"/>
    <w:rsid w:val="067F695D"/>
    <w:rsid w:val="06C64A03"/>
    <w:rsid w:val="06D92914"/>
    <w:rsid w:val="06ED1A6C"/>
    <w:rsid w:val="0705374D"/>
    <w:rsid w:val="07441BDB"/>
    <w:rsid w:val="07613ADD"/>
    <w:rsid w:val="078430BA"/>
    <w:rsid w:val="07CE0FBC"/>
    <w:rsid w:val="07D648BC"/>
    <w:rsid w:val="07E86EA8"/>
    <w:rsid w:val="08EF782A"/>
    <w:rsid w:val="09521EB9"/>
    <w:rsid w:val="099A243E"/>
    <w:rsid w:val="09BF7F96"/>
    <w:rsid w:val="0A15557E"/>
    <w:rsid w:val="0A46482A"/>
    <w:rsid w:val="0A8B26E2"/>
    <w:rsid w:val="0AAB5FCE"/>
    <w:rsid w:val="0AC316DB"/>
    <w:rsid w:val="0AC55ED6"/>
    <w:rsid w:val="0AE05F6E"/>
    <w:rsid w:val="0B1A70FF"/>
    <w:rsid w:val="0B41708C"/>
    <w:rsid w:val="0BB657D2"/>
    <w:rsid w:val="0C62014F"/>
    <w:rsid w:val="0C8D624E"/>
    <w:rsid w:val="0CC7352F"/>
    <w:rsid w:val="0D2A2DFF"/>
    <w:rsid w:val="0D473693"/>
    <w:rsid w:val="0DA56D23"/>
    <w:rsid w:val="0DC403C7"/>
    <w:rsid w:val="0E1278F4"/>
    <w:rsid w:val="0E217A05"/>
    <w:rsid w:val="0E76187E"/>
    <w:rsid w:val="0EAA2609"/>
    <w:rsid w:val="0F0937EF"/>
    <w:rsid w:val="0FF263AD"/>
    <w:rsid w:val="103D2EB8"/>
    <w:rsid w:val="10AA2602"/>
    <w:rsid w:val="11405C91"/>
    <w:rsid w:val="116D15B9"/>
    <w:rsid w:val="118B1B00"/>
    <w:rsid w:val="12437772"/>
    <w:rsid w:val="12A366EA"/>
    <w:rsid w:val="12DE01C7"/>
    <w:rsid w:val="12EF531C"/>
    <w:rsid w:val="13062242"/>
    <w:rsid w:val="137375CA"/>
    <w:rsid w:val="137E3593"/>
    <w:rsid w:val="143F180C"/>
    <w:rsid w:val="147C4FBC"/>
    <w:rsid w:val="14A71CE0"/>
    <w:rsid w:val="14B22DFE"/>
    <w:rsid w:val="1511348C"/>
    <w:rsid w:val="15384EC7"/>
    <w:rsid w:val="15413123"/>
    <w:rsid w:val="15E53392"/>
    <w:rsid w:val="170744C6"/>
    <w:rsid w:val="17AB5E3B"/>
    <w:rsid w:val="17C53A26"/>
    <w:rsid w:val="181255A9"/>
    <w:rsid w:val="18645F36"/>
    <w:rsid w:val="189C36EF"/>
    <w:rsid w:val="18D6665E"/>
    <w:rsid w:val="190A4104"/>
    <w:rsid w:val="197251D2"/>
    <w:rsid w:val="19AE6746"/>
    <w:rsid w:val="19CF2B3F"/>
    <w:rsid w:val="1A066EE2"/>
    <w:rsid w:val="1A104DF2"/>
    <w:rsid w:val="1ADB7C20"/>
    <w:rsid w:val="1B530960"/>
    <w:rsid w:val="1B6D07AC"/>
    <w:rsid w:val="1BF0758F"/>
    <w:rsid w:val="1C1E57B7"/>
    <w:rsid w:val="1C1F002B"/>
    <w:rsid w:val="1C62124E"/>
    <w:rsid w:val="1C6E4F8F"/>
    <w:rsid w:val="1C6F108C"/>
    <w:rsid w:val="1C7C03BF"/>
    <w:rsid w:val="1CE74543"/>
    <w:rsid w:val="1DFE2DDA"/>
    <w:rsid w:val="1E7146D9"/>
    <w:rsid w:val="1F0C391F"/>
    <w:rsid w:val="1F1A77B5"/>
    <w:rsid w:val="1F2C162D"/>
    <w:rsid w:val="1F742D55"/>
    <w:rsid w:val="203C12C4"/>
    <w:rsid w:val="206402B0"/>
    <w:rsid w:val="20894618"/>
    <w:rsid w:val="219D595D"/>
    <w:rsid w:val="21D70261"/>
    <w:rsid w:val="228E52DC"/>
    <w:rsid w:val="22D0540E"/>
    <w:rsid w:val="23201418"/>
    <w:rsid w:val="234F1D72"/>
    <w:rsid w:val="23B26C9D"/>
    <w:rsid w:val="23EF2D0C"/>
    <w:rsid w:val="244A4ACA"/>
    <w:rsid w:val="24D25FCD"/>
    <w:rsid w:val="258145FA"/>
    <w:rsid w:val="268846B3"/>
    <w:rsid w:val="271162C0"/>
    <w:rsid w:val="274947D8"/>
    <w:rsid w:val="27670767"/>
    <w:rsid w:val="278158DC"/>
    <w:rsid w:val="27F64CCF"/>
    <w:rsid w:val="288365F5"/>
    <w:rsid w:val="29000597"/>
    <w:rsid w:val="2933313B"/>
    <w:rsid w:val="296F495F"/>
    <w:rsid w:val="2982642E"/>
    <w:rsid w:val="2A9233CF"/>
    <w:rsid w:val="2AAD0830"/>
    <w:rsid w:val="2C02798C"/>
    <w:rsid w:val="2C6E5BDC"/>
    <w:rsid w:val="2C7878FF"/>
    <w:rsid w:val="2C7B6384"/>
    <w:rsid w:val="2CFF79F9"/>
    <w:rsid w:val="2DC4121D"/>
    <w:rsid w:val="2E0D2FCE"/>
    <w:rsid w:val="2E8655F7"/>
    <w:rsid w:val="2EA442F4"/>
    <w:rsid w:val="2EA729FD"/>
    <w:rsid w:val="2EDD6A89"/>
    <w:rsid w:val="2FE81064"/>
    <w:rsid w:val="300206F2"/>
    <w:rsid w:val="306161FE"/>
    <w:rsid w:val="30AD3185"/>
    <w:rsid w:val="30AD732A"/>
    <w:rsid w:val="31300500"/>
    <w:rsid w:val="31592A40"/>
    <w:rsid w:val="31C13979"/>
    <w:rsid w:val="32202650"/>
    <w:rsid w:val="325C4EF2"/>
    <w:rsid w:val="332C4977"/>
    <w:rsid w:val="338926FE"/>
    <w:rsid w:val="34B365E7"/>
    <w:rsid w:val="35064C8D"/>
    <w:rsid w:val="350E42AB"/>
    <w:rsid w:val="35102DFC"/>
    <w:rsid w:val="36001A24"/>
    <w:rsid w:val="360F1920"/>
    <w:rsid w:val="36993074"/>
    <w:rsid w:val="36E03F37"/>
    <w:rsid w:val="37097E07"/>
    <w:rsid w:val="379E0FB4"/>
    <w:rsid w:val="37A71954"/>
    <w:rsid w:val="37E10881"/>
    <w:rsid w:val="38166909"/>
    <w:rsid w:val="384F5809"/>
    <w:rsid w:val="38507FCD"/>
    <w:rsid w:val="38BF00B4"/>
    <w:rsid w:val="38CB3A6B"/>
    <w:rsid w:val="390F7E89"/>
    <w:rsid w:val="394919FC"/>
    <w:rsid w:val="39C963B7"/>
    <w:rsid w:val="3A9542D2"/>
    <w:rsid w:val="3A9D4D2A"/>
    <w:rsid w:val="3AA87FEF"/>
    <w:rsid w:val="3AB4296B"/>
    <w:rsid w:val="3AEC2FDD"/>
    <w:rsid w:val="3BA870A7"/>
    <w:rsid w:val="3C007155"/>
    <w:rsid w:val="3C197235"/>
    <w:rsid w:val="3C2F6BAA"/>
    <w:rsid w:val="3C551209"/>
    <w:rsid w:val="3C590BE0"/>
    <w:rsid w:val="3CA25105"/>
    <w:rsid w:val="3D737422"/>
    <w:rsid w:val="3DBE42DD"/>
    <w:rsid w:val="3DFE709C"/>
    <w:rsid w:val="3EA579D2"/>
    <w:rsid w:val="3EE66E54"/>
    <w:rsid w:val="3F0D550E"/>
    <w:rsid w:val="3F0F00AE"/>
    <w:rsid w:val="3F9D6EBC"/>
    <w:rsid w:val="3FE35FA7"/>
    <w:rsid w:val="40330402"/>
    <w:rsid w:val="403913BF"/>
    <w:rsid w:val="414254EA"/>
    <w:rsid w:val="41C91516"/>
    <w:rsid w:val="421B3FB0"/>
    <w:rsid w:val="421E2404"/>
    <w:rsid w:val="4246491B"/>
    <w:rsid w:val="42484801"/>
    <w:rsid w:val="425B2E88"/>
    <w:rsid w:val="429F7511"/>
    <w:rsid w:val="42D93FB0"/>
    <w:rsid w:val="430B2524"/>
    <w:rsid w:val="433A0E19"/>
    <w:rsid w:val="43A114D6"/>
    <w:rsid w:val="43A269BF"/>
    <w:rsid w:val="43F109A6"/>
    <w:rsid w:val="44092FD9"/>
    <w:rsid w:val="442073EE"/>
    <w:rsid w:val="447E69A8"/>
    <w:rsid w:val="44CC52E8"/>
    <w:rsid w:val="451A63EA"/>
    <w:rsid w:val="46751D9D"/>
    <w:rsid w:val="468A60CE"/>
    <w:rsid w:val="47626483"/>
    <w:rsid w:val="47B31DCD"/>
    <w:rsid w:val="483E3960"/>
    <w:rsid w:val="484B248A"/>
    <w:rsid w:val="48B5721D"/>
    <w:rsid w:val="49FC6BE8"/>
    <w:rsid w:val="4A073A1B"/>
    <w:rsid w:val="4A63792F"/>
    <w:rsid w:val="4A8D358E"/>
    <w:rsid w:val="4AAC6FB0"/>
    <w:rsid w:val="4B16569E"/>
    <w:rsid w:val="4B4E290C"/>
    <w:rsid w:val="4B572FBE"/>
    <w:rsid w:val="4CF25608"/>
    <w:rsid w:val="4D0516D6"/>
    <w:rsid w:val="4D295DCA"/>
    <w:rsid w:val="4DA05D6F"/>
    <w:rsid w:val="4E675D51"/>
    <w:rsid w:val="4EA61747"/>
    <w:rsid w:val="4EF7213E"/>
    <w:rsid w:val="4F285DBE"/>
    <w:rsid w:val="4F483646"/>
    <w:rsid w:val="4F626745"/>
    <w:rsid w:val="4FE05041"/>
    <w:rsid w:val="50152710"/>
    <w:rsid w:val="502249C3"/>
    <w:rsid w:val="5138075A"/>
    <w:rsid w:val="51994290"/>
    <w:rsid w:val="51AC140E"/>
    <w:rsid w:val="51E9232A"/>
    <w:rsid w:val="525F7476"/>
    <w:rsid w:val="52845558"/>
    <w:rsid w:val="52C339A9"/>
    <w:rsid w:val="52DF5C7B"/>
    <w:rsid w:val="530205A7"/>
    <w:rsid w:val="53577358"/>
    <w:rsid w:val="53B70BFF"/>
    <w:rsid w:val="54B4149E"/>
    <w:rsid w:val="552A03F8"/>
    <w:rsid w:val="55A153F1"/>
    <w:rsid w:val="55D0069A"/>
    <w:rsid w:val="56874563"/>
    <w:rsid w:val="56A53ECF"/>
    <w:rsid w:val="56BC6B02"/>
    <w:rsid w:val="571F11AB"/>
    <w:rsid w:val="57A813B8"/>
    <w:rsid w:val="582A4531"/>
    <w:rsid w:val="58C3061C"/>
    <w:rsid w:val="5999486D"/>
    <w:rsid w:val="59CD7021"/>
    <w:rsid w:val="59E103A8"/>
    <w:rsid w:val="5A1E1571"/>
    <w:rsid w:val="5A8458CF"/>
    <w:rsid w:val="5ADF3ED5"/>
    <w:rsid w:val="5B2E3D72"/>
    <w:rsid w:val="5B373521"/>
    <w:rsid w:val="5C1A114D"/>
    <w:rsid w:val="5C265FE3"/>
    <w:rsid w:val="5C2F67A5"/>
    <w:rsid w:val="5CCB7A9F"/>
    <w:rsid w:val="5CD458E7"/>
    <w:rsid w:val="5CE97F76"/>
    <w:rsid w:val="5D3D0B22"/>
    <w:rsid w:val="5D414F22"/>
    <w:rsid w:val="5D5229FC"/>
    <w:rsid w:val="5D746BDA"/>
    <w:rsid w:val="5D864B92"/>
    <w:rsid w:val="5D911E81"/>
    <w:rsid w:val="5D93011C"/>
    <w:rsid w:val="5D9C7544"/>
    <w:rsid w:val="5D9C75F4"/>
    <w:rsid w:val="5E7967BF"/>
    <w:rsid w:val="5FA7112F"/>
    <w:rsid w:val="5FAF3AFE"/>
    <w:rsid w:val="5FEE5A96"/>
    <w:rsid w:val="5FF32481"/>
    <w:rsid w:val="60A531D7"/>
    <w:rsid w:val="60C43830"/>
    <w:rsid w:val="613C6AF7"/>
    <w:rsid w:val="616109D2"/>
    <w:rsid w:val="61964215"/>
    <w:rsid w:val="61A22BF5"/>
    <w:rsid w:val="6241254A"/>
    <w:rsid w:val="62947A74"/>
    <w:rsid w:val="62A72DA2"/>
    <w:rsid w:val="62C01994"/>
    <w:rsid w:val="62C3746A"/>
    <w:rsid w:val="63195C63"/>
    <w:rsid w:val="6363646D"/>
    <w:rsid w:val="63666A37"/>
    <w:rsid w:val="63F91820"/>
    <w:rsid w:val="640F0D4A"/>
    <w:rsid w:val="64A203BB"/>
    <w:rsid w:val="655974A0"/>
    <w:rsid w:val="65830B7D"/>
    <w:rsid w:val="664A076B"/>
    <w:rsid w:val="664B5A76"/>
    <w:rsid w:val="668D7E2F"/>
    <w:rsid w:val="67825B46"/>
    <w:rsid w:val="67C01B6E"/>
    <w:rsid w:val="67CA427E"/>
    <w:rsid w:val="67DB6ECF"/>
    <w:rsid w:val="688C70C7"/>
    <w:rsid w:val="68D74B12"/>
    <w:rsid w:val="69363C9C"/>
    <w:rsid w:val="696C0D3C"/>
    <w:rsid w:val="6AD66507"/>
    <w:rsid w:val="6B1E6EFC"/>
    <w:rsid w:val="6B3004C3"/>
    <w:rsid w:val="6B534CA5"/>
    <w:rsid w:val="6B6907FE"/>
    <w:rsid w:val="6BB35515"/>
    <w:rsid w:val="6C5007D9"/>
    <w:rsid w:val="6C651D4D"/>
    <w:rsid w:val="6C79753A"/>
    <w:rsid w:val="6C924EC0"/>
    <w:rsid w:val="6CCC4E8A"/>
    <w:rsid w:val="6E522727"/>
    <w:rsid w:val="6E701BBE"/>
    <w:rsid w:val="6E720CB7"/>
    <w:rsid w:val="6F6C30E9"/>
    <w:rsid w:val="6FBB668C"/>
    <w:rsid w:val="6FCA2DF6"/>
    <w:rsid w:val="705E4C31"/>
    <w:rsid w:val="706E5890"/>
    <w:rsid w:val="70E95746"/>
    <w:rsid w:val="714B3BFB"/>
    <w:rsid w:val="71D05A44"/>
    <w:rsid w:val="71E83B20"/>
    <w:rsid w:val="71F95950"/>
    <w:rsid w:val="72FF4D99"/>
    <w:rsid w:val="744E1C46"/>
    <w:rsid w:val="746A1B99"/>
    <w:rsid w:val="746E01CD"/>
    <w:rsid w:val="74A50C07"/>
    <w:rsid w:val="74E45D0D"/>
    <w:rsid w:val="750F3374"/>
    <w:rsid w:val="754B2B5E"/>
    <w:rsid w:val="75A73B93"/>
    <w:rsid w:val="75C34BE3"/>
    <w:rsid w:val="75EF6E0E"/>
    <w:rsid w:val="761824BB"/>
    <w:rsid w:val="76D11CFE"/>
    <w:rsid w:val="76D65147"/>
    <w:rsid w:val="77461FD7"/>
    <w:rsid w:val="77E4220D"/>
    <w:rsid w:val="78256734"/>
    <w:rsid w:val="78661288"/>
    <w:rsid w:val="78756F79"/>
    <w:rsid w:val="78E751C0"/>
    <w:rsid w:val="7A3D0FAD"/>
    <w:rsid w:val="7AC6294E"/>
    <w:rsid w:val="7B0605FC"/>
    <w:rsid w:val="7B9A2641"/>
    <w:rsid w:val="7C3849A3"/>
    <w:rsid w:val="7D3571CD"/>
    <w:rsid w:val="7F02149F"/>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endnote text"/>
    <w:basedOn w:val="1"/>
    <w:unhideWhenUsed/>
    <w:qFormat/>
    <w:uiPriority w:val="99"/>
    <w:pPr>
      <w:snapToGrid w:val="0"/>
    </w:pPr>
    <w:rPr>
      <w:rFonts w:ascii="Calibri" w:hAnsi="Calibri"/>
      <w:szCs w:val="24"/>
    </w:rPr>
  </w:style>
  <w:style w:type="paragraph" w:styleId="3">
    <w:name w:val="annotation text"/>
    <w:basedOn w:val="1"/>
    <w:link w:val="44"/>
    <w:qFormat/>
    <w:uiPriority w:val="99"/>
    <w:pPr>
      <w:jc w:val="left"/>
    </w:pPr>
  </w:style>
  <w:style w:type="paragraph" w:styleId="4">
    <w:name w:val="Body Text"/>
    <w:basedOn w:val="1"/>
    <w:unhideWhenUsed/>
    <w:qFormat/>
    <w:uiPriority w:val="99"/>
    <w:pPr>
      <w:spacing w:after="120"/>
    </w:pPr>
    <w:rPr>
      <w:rFonts w:eastAsia="仿宋_GB2312"/>
    </w:rPr>
  </w:style>
  <w:style w:type="paragraph" w:styleId="5">
    <w:name w:val="footer"/>
    <w:basedOn w:val="1"/>
    <w:qFormat/>
    <w:uiPriority w:val="99"/>
    <w:pPr>
      <w:tabs>
        <w:tab w:val="center" w:pos="4153"/>
        <w:tab w:val="right" w:pos="8306"/>
      </w:tabs>
      <w:snapToGrid w:val="0"/>
      <w:ind w:right="100" w:rightChars="100"/>
      <w:jc w:val="righ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index 9"/>
    <w:basedOn w:val="1"/>
    <w:next w:val="1"/>
    <w:qFormat/>
    <w:uiPriority w:val="0"/>
    <w:pPr>
      <w:widowControl/>
      <w:spacing w:after="200" w:line="276" w:lineRule="auto"/>
      <w:ind w:left="1890" w:hanging="210"/>
      <w:jc w:val="left"/>
    </w:pPr>
    <w:rPr>
      <w:rFonts w:ascii="Calibri" w:hAnsi="Calibri"/>
      <w:kern w:val="0"/>
      <w:sz w:val="20"/>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qFormat/>
    <w:uiPriority w:val="0"/>
    <w:rPr>
      <w:rFonts w:ascii="Times New Roman" w:hAnsi="Times New Roman" w:eastAsia="宋体"/>
      <w:sz w:val="18"/>
    </w:rPr>
  </w:style>
  <w:style w:type="character" w:styleId="15">
    <w:name w:val="Emphasis"/>
    <w:basedOn w:val="12"/>
    <w:qFormat/>
    <w:uiPriority w:val="0"/>
    <w:rPr>
      <w:i/>
    </w:rPr>
  </w:style>
  <w:style w:type="character" w:styleId="16">
    <w:name w:val="Hyperlink"/>
    <w:basedOn w:val="12"/>
    <w:qFormat/>
    <w:uiPriority w:val="0"/>
    <w:rPr>
      <w:color w:val="0000FF"/>
      <w:u w:val="single"/>
    </w:rPr>
  </w:style>
  <w:style w:type="character" w:customStyle="1" w:styleId="17">
    <w:name w:val="font01"/>
    <w:basedOn w:val="12"/>
    <w:qFormat/>
    <w:uiPriority w:val="0"/>
    <w:rPr>
      <w:rFonts w:hint="eastAsia" w:ascii="宋体" w:hAnsi="宋体" w:eastAsia="宋体" w:cs="宋体"/>
      <w:color w:val="000000"/>
      <w:sz w:val="20"/>
      <w:szCs w:val="20"/>
      <w:u w:val="none"/>
    </w:rPr>
  </w:style>
  <w:style w:type="character" w:customStyle="1" w:styleId="18">
    <w:name w:val="font61"/>
    <w:basedOn w:val="12"/>
    <w:qFormat/>
    <w:uiPriority w:val="0"/>
    <w:rPr>
      <w:rFonts w:hint="default" w:ascii="Times New Roman" w:hAnsi="Times New Roman" w:cs="Times New Roman"/>
      <w:color w:val="000000"/>
      <w:sz w:val="20"/>
      <w:szCs w:val="20"/>
      <w:u w:val="none"/>
    </w:rPr>
  </w:style>
  <w:style w:type="character" w:customStyle="1" w:styleId="19">
    <w:name w:val="Body text|2 + Times New Roman"/>
    <w:basedOn w:val="20"/>
    <w:unhideWhenUsed/>
    <w:qFormat/>
    <w:uiPriority w:val="0"/>
    <w:rPr>
      <w:rFonts w:ascii="Times New Roman" w:hAnsi="Times New Roman" w:eastAsia="Times New Roman" w:cs="Times New Roman"/>
      <w:color w:val="000000"/>
      <w:spacing w:val="10"/>
      <w:w w:val="100"/>
      <w:position w:val="0"/>
      <w:sz w:val="20"/>
      <w:szCs w:val="20"/>
      <w:u w:val="none"/>
      <w:lang w:val="en-US" w:eastAsia="en-US" w:bidi="en-US"/>
    </w:rPr>
  </w:style>
  <w:style w:type="character" w:customStyle="1" w:styleId="20">
    <w:name w:val="Body text|2_"/>
    <w:basedOn w:val="12"/>
    <w:link w:val="21"/>
    <w:qFormat/>
    <w:uiPriority w:val="0"/>
    <w:rPr>
      <w:rFonts w:ascii="PMingLiU" w:hAnsi="PMingLiU" w:eastAsia="PMingLiU" w:cs="PMingLiU"/>
      <w:spacing w:val="20"/>
      <w:sz w:val="18"/>
      <w:szCs w:val="18"/>
      <w:u w:val="none"/>
    </w:rPr>
  </w:style>
  <w:style w:type="paragraph" w:customStyle="1" w:styleId="21">
    <w:name w:val="Body text|2"/>
    <w:basedOn w:val="1"/>
    <w:link w:val="20"/>
    <w:qFormat/>
    <w:uiPriority w:val="0"/>
    <w:pPr>
      <w:shd w:val="clear" w:color="auto" w:fill="FFFFFF"/>
      <w:spacing w:after="3760" w:line="222" w:lineRule="exact"/>
      <w:jc w:val="right"/>
    </w:pPr>
    <w:rPr>
      <w:rFonts w:ascii="PMingLiU" w:hAnsi="PMingLiU" w:eastAsia="PMingLiU" w:cs="PMingLiU"/>
      <w:spacing w:val="20"/>
      <w:sz w:val="18"/>
      <w:szCs w:val="18"/>
    </w:rPr>
  </w:style>
  <w:style w:type="character" w:customStyle="1" w:styleId="22">
    <w:name w:val="font11"/>
    <w:basedOn w:val="12"/>
    <w:qFormat/>
    <w:uiPriority w:val="0"/>
    <w:rPr>
      <w:rFonts w:hint="default" w:ascii="Times New Roman" w:hAnsi="Times New Roman" w:cs="Times New Roman"/>
      <w:color w:val="000000"/>
      <w:sz w:val="20"/>
      <w:szCs w:val="20"/>
      <w:u w:val="none"/>
    </w:rPr>
  </w:style>
  <w:style w:type="character" w:customStyle="1" w:styleId="23">
    <w:name w:val="font51"/>
    <w:basedOn w:val="12"/>
    <w:qFormat/>
    <w:uiPriority w:val="0"/>
    <w:rPr>
      <w:rFonts w:hint="eastAsia" w:ascii="宋体" w:hAnsi="宋体" w:eastAsia="宋体" w:cs="宋体"/>
      <w:color w:val="000000"/>
      <w:sz w:val="20"/>
      <w:szCs w:val="20"/>
      <w:u w:val="none"/>
    </w:rPr>
  </w:style>
  <w:style w:type="character" w:customStyle="1" w:styleId="24">
    <w:name w:val="font41"/>
    <w:basedOn w:val="12"/>
    <w:qFormat/>
    <w:uiPriority w:val="0"/>
    <w:rPr>
      <w:rFonts w:hint="eastAsia" w:ascii="宋体" w:hAnsi="宋体" w:eastAsia="宋体" w:cs="宋体"/>
      <w:color w:val="000000"/>
      <w:sz w:val="20"/>
      <w:szCs w:val="20"/>
      <w:u w:val="none"/>
    </w:rPr>
  </w:style>
  <w:style w:type="paragraph" w:styleId="25">
    <w:name w:val="List Paragraph"/>
    <w:basedOn w:val="1"/>
    <w:qFormat/>
    <w:uiPriority w:val="34"/>
    <w:pPr>
      <w:numPr>
        <w:ilvl w:val="0"/>
        <w:numId w:val="1"/>
      </w:numPr>
      <w:spacing w:before="156" w:beforeLines="50" w:line="360" w:lineRule="auto"/>
      <w:jc w:val="center"/>
    </w:pPr>
    <w:rPr>
      <w:rFonts w:ascii="黑体" w:hAnsi="黑体" w:eastAsia="黑体"/>
      <w:szCs w:val="21"/>
    </w:rPr>
  </w:style>
  <w:style w:type="paragraph" w:customStyle="1" w:styleId="26">
    <w:name w:val="标准书眉_偶数页"/>
    <w:basedOn w:val="27"/>
    <w:next w:val="1"/>
    <w:qFormat/>
    <w:uiPriority w:val="0"/>
    <w:pPr>
      <w:tabs>
        <w:tab w:val="center" w:pos="4154"/>
        <w:tab w:val="right" w:pos="8306"/>
      </w:tabs>
      <w:jc w:val="left"/>
    </w:pPr>
  </w:style>
  <w:style w:type="paragraph" w:customStyle="1" w:styleId="2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8">
    <w:name w:val="标准书眉一"/>
    <w:qFormat/>
    <w:uiPriority w:val="0"/>
    <w:pPr>
      <w:jc w:val="both"/>
    </w:pPr>
    <w:rPr>
      <w:rFonts w:ascii="Times New Roman" w:hAnsi="Times New Roman" w:eastAsia="宋体" w:cs="Times New Roman"/>
      <w:lang w:val="en-US" w:eastAsia="zh-CN" w:bidi="ar-SA"/>
    </w:rPr>
  </w:style>
  <w:style w:type="paragraph" w:customStyle="1" w:styleId="29">
    <w:name w:val="一级条标题"/>
    <w:basedOn w:val="30"/>
    <w:next w:val="31"/>
    <w:qFormat/>
    <w:uiPriority w:val="0"/>
    <w:pPr>
      <w:numPr>
        <w:ilvl w:val="2"/>
        <w:numId w:val="2"/>
      </w:numPr>
      <w:spacing w:line="360" w:lineRule="auto"/>
      <w:outlineLvl w:val="2"/>
    </w:pPr>
    <w:rPr>
      <w:rFonts w:ascii="Times New Roman" w:hAnsi="Times New Roman" w:eastAsia="黑体" w:cs="Times New Roman"/>
      <w:sz w:val="21"/>
      <w:lang w:val="en-US" w:eastAsia="zh-CN" w:bidi="ar-SA"/>
    </w:rPr>
  </w:style>
  <w:style w:type="paragraph" w:customStyle="1" w:styleId="30">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3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2">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3">
    <w:name w:val="实施日期"/>
    <w:basedOn w:val="34"/>
    <w:qFormat/>
    <w:uiPriority w:val="0"/>
    <w:pPr>
      <w:jc w:val="right"/>
    </w:pPr>
  </w:style>
  <w:style w:type="paragraph" w:customStyle="1" w:styleId="34">
    <w:name w:val="发布日期"/>
    <w:qFormat/>
    <w:uiPriority w:val="0"/>
    <w:rPr>
      <w:rFonts w:ascii="Times New Roman" w:hAnsi="Times New Roman" w:eastAsia="黑体" w:cs="Times New Roman"/>
      <w:sz w:val="28"/>
      <w:lang w:val="en-US" w:eastAsia="zh-CN" w:bidi="ar-SA"/>
    </w:rPr>
  </w:style>
  <w:style w:type="paragraph" w:customStyle="1" w:styleId="35">
    <w:name w:val="目次、标准名称标题"/>
    <w:basedOn w:val="32"/>
    <w:next w:val="31"/>
    <w:qFormat/>
    <w:uiPriority w:val="99"/>
    <w:pPr>
      <w:spacing w:line="460" w:lineRule="exact"/>
    </w:pPr>
  </w:style>
  <w:style w:type="paragraph" w:customStyle="1" w:styleId="36">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37">
    <w:name w:val="封面正文"/>
    <w:qFormat/>
    <w:uiPriority w:val="0"/>
    <w:pPr>
      <w:jc w:val="both"/>
    </w:pPr>
    <w:rPr>
      <w:rFonts w:ascii="Times New Roman" w:hAnsi="Times New Roman" w:eastAsia="宋体" w:cs="Times New Roman"/>
      <w:lang w:val="en-US" w:eastAsia="zh-CN" w:bidi="ar-SA"/>
    </w:rPr>
  </w:style>
  <w:style w:type="paragraph" w:customStyle="1" w:styleId="38">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39">
    <w:name w:val="二级条标题"/>
    <w:basedOn w:val="29"/>
    <w:next w:val="1"/>
    <w:qFormat/>
    <w:uiPriority w:val="0"/>
    <w:pPr>
      <w:numPr>
        <w:ilvl w:val="3"/>
      </w:numPr>
      <w:outlineLvl w:val="3"/>
    </w:pPr>
  </w:style>
  <w:style w:type="paragraph" w:customStyle="1" w:styleId="40">
    <w:name w:val="封面标准号1"/>
    <w:qFormat/>
    <w:uiPriority w:val="0"/>
    <w:pPr>
      <w:widowControl w:val="0"/>
      <w:kinsoku w:val="0"/>
      <w:overflowPunct w:val="0"/>
      <w:autoSpaceDE w:val="0"/>
      <w:autoSpaceDN w:val="0"/>
      <w:spacing w:before="100" w:beforeAutospacing="1" w:after="100" w:afterAutospacing="1"/>
      <w:jc w:val="right"/>
      <w:textAlignment w:val="center"/>
    </w:pPr>
    <w:rPr>
      <w:rFonts w:ascii="Times New Roman" w:hAnsi="Times New Roman" w:eastAsia="宋体" w:cs="Times New Roman"/>
      <w:sz w:val="28"/>
      <w:lang w:val="en-US" w:eastAsia="zh-CN" w:bidi="ar-SA"/>
    </w:rPr>
  </w:style>
  <w:style w:type="paragraph" w:customStyle="1" w:styleId="41">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42">
    <w:name w:val="font21"/>
    <w:basedOn w:val="12"/>
    <w:qFormat/>
    <w:uiPriority w:val="0"/>
    <w:rPr>
      <w:rFonts w:hint="default" w:ascii="Times New Roman" w:hAnsi="Times New Roman" w:cs="Times New Roman"/>
      <w:b/>
      <w:bCs/>
      <w:color w:val="FF0000"/>
      <w:sz w:val="18"/>
      <w:szCs w:val="18"/>
      <w:u w:val="none"/>
    </w:rPr>
  </w:style>
  <w:style w:type="character" w:customStyle="1" w:styleId="43">
    <w:name w:val="font31"/>
    <w:basedOn w:val="12"/>
    <w:qFormat/>
    <w:uiPriority w:val="0"/>
    <w:rPr>
      <w:rFonts w:hint="eastAsia" w:ascii="宋体" w:hAnsi="宋体" w:eastAsia="宋体" w:cs="宋体"/>
      <w:b/>
      <w:bCs/>
      <w:color w:val="FF0000"/>
      <w:sz w:val="18"/>
      <w:szCs w:val="18"/>
      <w:u w:val="none"/>
    </w:rPr>
  </w:style>
  <w:style w:type="character" w:customStyle="1" w:styleId="44">
    <w:name w:val="批注文字 字符"/>
    <w:link w:val="3"/>
    <w:qFormat/>
    <w:uiPriority w:val="99"/>
    <w:rPr>
      <w:kern w:val="2"/>
      <w:sz w:val="21"/>
    </w:rPr>
  </w:style>
  <w:style w:type="table" w:customStyle="1" w:styleId="45">
    <w:name w:val="网格型1"/>
    <w:basedOn w:val="10"/>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7">
    <w:name w:val="四级条标题"/>
    <w:basedOn w:val="48"/>
    <w:next w:val="1"/>
    <w:qFormat/>
    <w:uiPriority w:val="0"/>
    <w:pPr>
      <w:numPr>
        <w:ilvl w:val="5"/>
        <w:numId w:val="2"/>
      </w:numPr>
      <w:tabs>
        <w:tab w:val="left" w:pos="1680"/>
        <w:tab w:val="left" w:pos="2100"/>
        <w:tab w:val="left" w:pos="2520"/>
      </w:tabs>
      <w:ind w:left="2520" w:hanging="420"/>
      <w:outlineLvl w:val="5"/>
    </w:pPr>
  </w:style>
  <w:style w:type="paragraph" w:customStyle="1" w:styleId="48">
    <w:name w:val="三级条标题"/>
    <w:basedOn w:val="39"/>
    <w:next w:val="1"/>
    <w:qFormat/>
    <w:uiPriority w:val="0"/>
    <w:pPr>
      <w:numPr>
        <w:ilvl w:val="4"/>
        <w:numId w:val="2"/>
      </w:numPr>
      <w:tabs>
        <w:tab w:val="left" w:pos="1680"/>
        <w:tab w:val="left" w:pos="2100"/>
      </w:tabs>
      <w:ind w:left="2100" w:hanging="420"/>
      <w:outlineLvl w:val="4"/>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8995</Words>
  <Characters>10291</Characters>
  <Lines>101</Lines>
  <Paragraphs>28</Paragraphs>
  <TotalTime>3</TotalTime>
  <ScaleCrop>false</ScaleCrop>
  <LinksUpToDate>false</LinksUpToDate>
  <CharactersWithSpaces>10473</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2024-01-11T03:10:00Z</dcterms:created>
  <dc:creator>pc</dc:creator>
  <cp:lastModifiedBy>guofx2</cp:lastModifiedBy>
  <cp:lastPrinted>2024-12-11T02:53:00Z</cp:lastPrinted>
  <dcterms:modified xsi:type="dcterms:W3CDTF">2025-05-07T00:31:52Z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A47540EBE14A4A3C97B5A5D0C774991B_13</vt:lpwstr>
  </property>
</Properties>
</file>