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2"/>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1"/>
              <w:framePr w:wrap="notBeside" w:vAnchor="page" w:hAnchor="page" w:x="1372" w:y="568"/>
              <w:tabs>
                <w:tab w:val="clear" w:pos="4153"/>
                <w:tab w:val="clear" w:pos="8306"/>
              </w:tabs>
              <w:spacing w:line="240" w:lineRule="auto"/>
              <w:jc w:val="left"/>
              <w:rPr>
                <w:rFonts w:ascii="黑体" w:hAnsi="黑体" w:eastAsia="黑体"/>
                <w:color w:val="auto"/>
                <w:sz w:val="21"/>
                <w:szCs w:val="21"/>
                <w:highlight w:val="none"/>
              </w:rPr>
            </w:pPr>
            <w:r>
              <w:rPr>
                <w:rFonts w:ascii="Times New Roman" w:hAnsi="Times New Roman" w:eastAsia="黑体"/>
                <w:color w:val="auto"/>
                <w:sz w:val="21"/>
                <w:szCs w:val="21"/>
                <w:highlight w:val="none"/>
              </w:rPr>
              <w:t>ICS</w:t>
            </w:r>
            <w:r>
              <w:rPr>
                <w:rFonts w:ascii="黑体" w:hAnsi="黑体" w:eastAsia="黑体"/>
                <w:color w:val="auto"/>
                <w:sz w:val="21"/>
                <w:szCs w:val="21"/>
                <w:highlight w:val="none"/>
              </w:rPr>
              <w:t xml:space="preserve">  </w:t>
            </w:r>
          </w:p>
        </w:tc>
        <w:tc>
          <w:tcPr>
            <w:tcW w:w="8855" w:type="dxa"/>
          </w:tcPr>
          <w:p>
            <w:pPr>
              <w:pStyle w:val="21"/>
              <w:framePr w:wrap="notBeside" w:vAnchor="page" w:hAnchor="page" w:x="1372" w:y="568"/>
              <w:tabs>
                <w:tab w:val="clear" w:pos="4153"/>
                <w:tab w:val="clear" w:pos="8306"/>
              </w:tabs>
              <w:spacing w:line="240" w:lineRule="auto"/>
              <w:ind w:left="3"/>
              <w:jc w:val="both"/>
              <w:rPr>
                <w:rFonts w:ascii="黑体" w:hAnsi="黑体" w:eastAsia="黑体"/>
                <w:color w:val="auto"/>
                <w:sz w:val="21"/>
                <w:szCs w:val="21"/>
                <w:highlight w:val="none"/>
              </w:rPr>
            </w:pPr>
            <w:r>
              <w:rPr>
                <w:rFonts w:ascii="黑体" w:hAnsi="黑体" w:eastAsia="黑体"/>
                <w:color w:val="auto"/>
                <w:sz w:val="21"/>
                <w:szCs w:val="21"/>
                <w:highlight w:val="none"/>
              </w:rPr>
              <w:fldChar w:fldCharType="begin">
                <w:ffData>
                  <w:name w:val="ICS"/>
                  <w:enabled/>
                  <w:calcOnExit w:val="0"/>
                  <w:textInput>
                    <w:default w:val="点击此处添加ICS号"/>
                  </w:textInput>
                </w:ffData>
              </w:fldChar>
            </w:r>
            <w:bookmarkStart w:id="0" w:name="ICS"/>
            <w:r>
              <w:rPr>
                <w:rFonts w:ascii="黑体" w:hAnsi="黑体" w:eastAsia="黑体"/>
                <w:color w:val="auto"/>
                <w:sz w:val="21"/>
                <w:szCs w:val="21"/>
                <w:highlight w:val="none"/>
              </w:rPr>
              <w:instrText xml:space="preserve"> FORMTEXT </w:instrText>
            </w:r>
            <w:r>
              <w:rPr>
                <w:rFonts w:ascii="黑体" w:hAnsi="黑体" w:eastAsia="黑体"/>
                <w:color w:val="auto"/>
                <w:sz w:val="21"/>
                <w:szCs w:val="21"/>
                <w:highlight w:val="none"/>
              </w:rPr>
              <w:fldChar w:fldCharType="separate"/>
            </w:r>
            <w:r>
              <w:rPr>
                <w:rFonts w:ascii="黑体" w:hAnsi="黑体" w:eastAsia="黑体"/>
                <w:color w:val="auto"/>
                <w:sz w:val="21"/>
                <w:szCs w:val="21"/>
                <w:highlight w:val="none"/>
              </w:rPr>
              <w:t>71.060.50</w:t>
            </w:r>
            <w:r>
              <w:rPr>
                <w:rFonts w:ascii="黑体" w:hAnsi="黑体" w:eastAsia="黑体"/>
                <w:color w:val="auto"/>
                <w:sz w:val="21"/>
                <w:szCs w:val="21"/>
                <w:highlight w:val="none"/>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1"/>
              <w:framePr w:wrap="notBeside" w:vAnchor="page" w:hAnchor="page" w:x="1372" w:y="568"/>
              <w:tabs>
                <w:tab w:val="clear" w:pos="4153"/>
                <w:tab w:val="clear" w:pos="8306"/>
              </w:tabs>
              <w:spacing w:before="40" w:line="240" w:lineRule="auto"/>
              <w:jc w:val="left"/>
              <w:rPr>
                <w:rFonts w:ascii="黑体" w:hAnsi="黑体" w:eastAsia="黑体"/>
                <w:color w:val="auto"/>
                <w:sz w:val="21"/>
                <w:szCs w:val="21"/>
                <w:highlight w:val="none"/>
              </w:rPr>
            </w:pPr>
            <w:r>
              <w:rPr>
                <w:rFonts w:ascii="Times New Roman" w:hAnsi="Times New Roman" w:eastAsia="黑体"/>
                <w:color w:val="auto"/>
                <w:sz w:val="21"/>
                <w:szCs w:val="21"/>
                <w:highlight w:val="none"/>
              </w:rPr>
              <w:t xml:space="preserve">CCS </w:t>
            </w:r>
            <w:r>
              <w:rPr>
                <w:rFonts w:ascii="黑体" w:hAnsi="黑体" w:eastAsia="黑体"/>
                <w:color w:val="auto"/>
                <w:sz w:val="21"/>
                <w:szCs w:val="21"/>
                <w:highlight w:val="none"/>
              </w:rPr>
              <w:t xml:space="preserve"> </w:t>
            </w:r>
          </w:p>
        </w:tc>
        <w:tc>
          <w:tcPr>
            <w:tcW w:w="8855" w:type="dxa"/>
          </w:tcPr>
          <w:tbl>
            <w:tblPr>
              <w:tblStyle w:val="32"/>
              <w:tblpPr w:leftFromText="181" w:rightFromText="181" w:vertAnchor="page" w:horzAnchor="page" w:tblpX="3757" w:tblpY="256"/>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0" w:type="dxa"/>
                <w:bottom w:w="0" w:type="dxa"/>
                <w:right w:w="0" w:type="dxa"/>
              </w:tblCellMar>
            </w:tblPr>
            <w:tblGrid>
              <w:gridCol w:w="499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1128" w:hRule="atLeast"/>
              </w:trPr>
              <w:tc>
                <w:tcPr>
                  <w:tcW w:w="4990" w:type="dxa"/>
                </w:tcPr>
                <w:p>
                  <w:pPr>
                    <w:pStyle w:val="55"/>
                    <w:framePr w:wrap="notBeside" w:vAnchor="page" w:hAnchor="page" w:x="1372" w:y="568"/>
                    <w:ind w:firstLine="420"/>
                    <w:rPr>
                      <w:color w:val="auto"/>
                      <w:highlight w:val="none"/>
                    </w:rPr>
                  </w:pPr>
                  <w:r>
                    <w:rPr>
                      <w:color w:val="auto"/>
                      <w:highlight w:val="none"/>
                    </w:rPr>
                    <w:fldChar w:fldCharType="begin">
                      <w:ffData>
                        <w:name w:val="c1"/>
                        <w:enabled/>
                        <w:calcOnExit w:val="0"/>
                        <w:textInput>
                          <w:maxLength w:val="8"/>
                        </w:textInput>
                      </w:ffData>
                    </w:fldChar>
                  </w:r>
                  <w:bookmarkStart w:id="1" w:name="c1"/>
                  <w:r>
                    <w:rPr>
                      <w:color w:val="auto"/>
                      <w:highlight w:val="none"/>
                    </w:rPr>
                    <w:instrText xml:space="preserve"> FORMTEXT </w:instrText>
                  </w:r>
                  <w:r>
                    <w:rPr>
                      <w:color w:val="auto"/>
                      <w:highlight w:val="none"/>
                    </w:rPr>
                    <w:fldChar w:fldCharType="separate"/>
                  </w:r>
                  <w:r>
                    <w:rPr>
                      <w:color w:val="auto"/>
                      <w:highlight w:val="none"/>
                    </w:rPr>
                    <w:t>HG</w:t>
                  </w:r>
                  <w:r>
                    <w:rPr>
                      <w:color w:val="auto"/>
                      <w:highlight w:val="none"/>
                    </w:rPr>
                    <w:fldChar w:fldCharType="end"/>
                  </w:r>
                  <w:bookmarkEnd w:id="1"/>
                </w:p>
              </w:tc>
            </w:tr>
          </w:tbl>
          <w:p>
            <w:pPr>
              <w:pStyle w:val="21"/>
              <w:framePr w:wrap="notBeside" w:vAnchor="page" w:hAnchor="page" w:x="1372" w:y="568"/>
              <w:tabs>
                <w:tab w:val="clear" w:pos="4153"/>
                <w:tab w:val="clear" w:pos="8306"/>
              </w:tabs>
              <w:spacing w:before="40" w:line="240" w:lineRule="auto"/>
              <w:jc w:val="left"/>
              <w:rPr>
                <w:rFonts w:ascii="黑体" w:hAnsi="黑体" w:eastAsia="黑体"/>
                <w:color w:val="auto"/>
                <w:sz w:val="21"/>
                <w:szCs w:val="21"/>
                <w:highlight w:val="none"/>
              </w:rPr>
            </w:pPr>
            <w:r>
              <w:rPr>
                <w:rFonts w:ascii="黑体" w:hAnsi="黑体" w:eastAsia="黑体"/>
                <w:color w:val="auto"/>
                <w:sz w:val="21"/>
                <w:szCs w:val="21"/>
                <w:highlight w:val="none"/>
              </w:rPr>
              <w:fldChar w:fldCharType="begin">
                <w:ffData>
                  <w:name w:val="CSDN"/>
                  <w:enabled/>
                  <w:calcOnExit w:val="0"/>
                  <w:textInput>
                    <w:default w:val="点击此处添加CCS号"/>
                  </w:textInput>
                </w:ffData>
              </w:fldChar>
            </w:r>
            <w:bookmarkStart w:id="2" w:name="CSDN"/>
            <w:r>
              <w:rPr>
                <w:rFonts w:ascii="黑体" w:hAnsi="黑体" w:eastAsia="黑体"/>
                <w:color w:val="auto"/>
                <w:sz w:val="21"/>
                <w:szCs w:val="21"/>
                <w:highlight w:val="none"/>
              </w:rPr>
              <w:instrText xml:space="preserve"> FORMTEXT </w:instrText>
            </w:r>
            <w:r>
              <w:rPr>
                <w:rFonts w:ascii="黑体" w:hAnsi="黑体" w:eastAsia="黑体"/>
                <w:color w:val="auto"/>
                <w:sz w:val="21"/>
                <w:szCs w:val="21"/>
                <w:highlight w:val="none"/>
              </w:rPr>
              <w:fldChar w:fldCharType="separate"/>
            </w:r>
            <w:r>
              <w:rPr>
                <w:rFonts w:hint="eastAsia" w:ascii="黑体" w:hAnsi="黑体" w:eastAsia="黑体"/>
                <w:color w:val="auto"/>
                <w:sz w:val="21"/>
                <w:szCs w:val="21"/>
                <w:highlight w:val="none"/>
              </w:rPr>
              <w:t>G</w:t>
            </w:r>
            <w:r>
              <w:rPr>
                <w:rFonts w:ascii="黑体" w:hAnsi="黑体" w:eastAsia="黑体"/>
                <w:color w:val="auto"/>
                <w:sz w:val="21"/>
                <w:szCs w:val="21"/>
                <w:highlight w:val="none"/>
              </w:rPr>
              <w:t xml:space="preserve"> 12</w:t>
            </w:r>
            <w:r>
              <w:rPr>
                <w:rFonts w:ascii="黑体" w:hAnsi="黑体" w:eastAsia="黑体"/>
                <w:color w:val="auto"/>
                <w:sz w:val="21"/>
                <w:szCs w:val="21"/>
                <w:highlight w:val="none"/>
              </w:rPr>
              <w:fldChar w:fldCharType="end"/>
            </w:r>
            <w:bookmarkEnd w:id="2"/>
          </w:p>
        </w:tc>
      </w:tr>
    </w:tbl>
    <w:p>
      <w:pPr>
        <w:pStyle w:val="56"/>
        <w:framePr w:w="9639" w:h="624" w:hRule="exact" w:hSpace="181" w:vSpace="181" w:wrap="around" w:hAnchor="page" w:x="1305" w:y="2269"/>
        <w:rPr>
          <w:rFonts w:ascii="黑体" w:hAnsi="黑体" w:eastAsia="黑体"/>
          <w:b w:val="0"/>
          <w:bCs w:val="0"/>
          <w:color w:val="auto"/>
          <w:w w:val="100"/>
          <w:sz w:val="48"/>
          <w:szCs w:val="48"/>
          <w:highlight w:val="none"/>
        </w:rPr>
      </w:pPr>
      <w:bookmarkStart w:id="3" w:name="_Hlk26473981"/>
      <w:r>
        <w:rPr>
          <w:rFonts w:hint="eastAsia" w:ascii="黑体" w:hAnsi="黑体" w:eastAsia="黑体"/>
          <w:b w:val="0"/>
          <w:bCs w:val="0"/>
          <w:color w:val="auto"/>
          <w:w w:val="100"/>
          <w:sz w:val="48"/>
          <w:szCs w:val="48"/>
          <w:highlight w:val="none"/>
        </w:rPr>
        <w:t>中华人民共和国</w:t>
      </w:r>
      <w:r>
        <w:rPr>
          <w:rFonts w:ascii="黑体" w:eastAsia="黑体"/>
          <w:b w:val="0"/>
          <w:bCs w:val="0"/>
          <w:color w:val="auto"/>
          <w:w w:val="100"/>
          <w:sz w:val="48"/>
          <w:highlight w:val="none"/>
        </w:rPr>
        <w:fldChar w:fldCharType="begin">
          <w:ffData>
            <w:name w:val="c2"/>
            <w:enabled/>
            <w:calcOnExit w:val="0"/>
            <w:textInput/>
          </w:ffData>
        </w:fldChar>
      </w:r>
      <w:bookmarkStart w:id="4" w:name="c2"/>
      <w:r>
        <w:rPr>
          <w:rFonts w:ascii="黑体" w:eastAsia="黑体"/>
          <w:b w:val="0"/>
          <w:bCs w:val="0"/>
          <w:color w:val="auto"/>
          <w:w w:val="100"/>
          <w:sz w:val="48"/>
          <w:highlight w:val="none"/>
        </w:rPr>
        <w:instrText xml:space="preserve"> FORMTEXT </w:instrText>
      </w:r>
      <w:r>
        <w:rPr>
          <w:rFonts w:ascii="黑体" w:eastAsia="黑体"/>
          <w:b w:val="0"/>
          <w:bCs w:val="0"/>
          <w:color w:val="auto"/>
          <w:w w:val="100"/>
          <w:sz w:val="48"/>
          <w:highlight w:val="none"/>
        </w:rPr>
        <w:fldChar w:fldCharType="separate"/>
      </w:r>
      <w:r>
        <w:rPr>
          <w:rFonts w:hint="eastAsia" w:ascii="黑体" w:eastAsia="黑体"/>
          <w:b w:val="0"/>
          <w:bCs w:val="0"/>
          <w:color w:val="auto"/>
          <w:w w:val="100"/>
          <w:sz w:val="48"/>
          <w:highlight w:val="none"/>
        </w:rPr>
        <w:t>化</w:t>
      </w:r>
      <w:r>
        <w:rPr>
          <w:rFonts w:ascii="黑体" w:eastAsia="黑体"/>
          <w:b w:val="0"/>
          <w:bCs w:val="0"/>
          <w:color w:val="auto"/>
          <w:w w:val="100"/>
          <w:sz w:val="48"/>
          <w:highlight w:val="none"/>
        </w:rPr>
        <w:fldChar w:fldCharType="end"/>
      </w:r>
      <w:bookmarkEnd w:id="4"/>
      <w:r>
        <w:rPr>
          <w:rFonts w:hint="eastAsia" w:ascii="黑体" w:eastAsia="黑体"/>
          <w:b w:val="0"/>
          <w:bCs w:val="0"/>
          <w:color w:val="auto"/>
          <w:w w:val="100"/>
          <w:sz w:val="48"/>
          <w:highlight w:val="none"/>
        </w:rPr>
        <w:t>工</w:t>
      </w:r>
      <w:r>
        <w:rPr>
          <w:rFonts w:hint="eastAsia" w:ascii="黑体" w:hAnsi="黑体" w:eastAsia="黑体"/>
          <w:b w:val="0"/>
          <w:bCs w:val="0"/>
          <w:color w:val="auto"/>
          <w:w w:val="100"/>
          <w:sz w:val="48"/>
          <w:szCs w:val="48"/>
          <w:highlight w:val="none"/>
        </w:rPr>
        <w:t>行业标准</w:t>
      </w:r>
    </w:p>
    <w:bookmarkEnd w:id="3"/>
    <w:p>
      <w:pPr>
        <w:pStyle w:val="203"/>
        <w:framePr w:h="6974" w:hRule="exact" w:wrap="around" w:x="1419" w:anchorLock="1"/>
        <w:rPr>
          <w:color w:val="auto"/>
          <w:highlight w:val="none"/>
        </w:rPr>
      </w:pPr>
    </w:p>
    <w:p>
      <w:pPr>
        <w:pStyle w:val="203"/>
        <w:framePr w:h="6974" w:hRule="exact" w:wrap="around" w:x="1419" w:anchorLock="1"/>
        <w:rPr>
          <w:color w:val="auto"/>
          <w:highlight w:val="none"/>
          <w:lang w:val="fr-FR"/>
        </w:rPr>
      </w:pPr>
      <w:r>
        <w:rPr>
          <w:rFonts w:hint="eastAsia"/>
          <w:color w:val="auto"/>
          <w:highlight w:val="none"/>
        </w:rPr>
        <w:t>钠离子电池用铜铁锰酸钠</w:t>
      </w:r>
    </w:p>
    <w:p>
      <w:pPr>
        <w:framePr w:w="9639" w:h="6974" w:hRule="exact" w:wrap="around" w:vAnchor="page" w:hAnchor="page" w:x="1419" w:y="6408" w:anchorLock="1"/>
        <w:ind w:left="-1418"/>
        <w:rPr>
          <w:color w:val="auto"/>
          <w:highlight w:val="none"/>
          <w:lang w:val="fr-FR"/>
        </w:rPr>
      </w:pPr>
    </w:p>
    <w:p>
      <w:pPr>
        <w:pStyle w:val="131"/>
        <w:framePr w:w="9639" w:h="6974" w:hRule="exact" w:wrap="around" w:vAnchor="page" w:hAnchor="page" w:x="1419" w:y="6408" w:anchorLock="1"/>
        <w:textAlignment w:val="bottom"/>
        <w:rPr>
          <w:rFonts w:eastAsia="黑体"/>
          <w:color w:val="auto"/>
          <w:szCs w:val="28"/>
          <w:highlight w:val="none"/>
        </w:rPr>
      </w:pPr>
      <w:r>
        <w:rPr>
          <w:rFonts w:eastAsia="黑体"/>
          <w:color w:val="auto"/>
          <w:szCs w:val="28"/>
          <w:highlight w:val="none"/>
        </w:rPr>
        <w:t>Sodium copper</w:t>
      </w:r>
      <w:r>
        <w:rPr>
          <w:rFonts w:hint="eastAsia" w:eastAsia="黑体"/>
          <w:color w:val="auto"/>
          <w:szCs w:val="28"/>
          <w:highlight w:val="none"/>
        </w:rPr>
        <w:t>-</w:t>
      </w:r>
      <w:r>
        <w:rPr>
          <w:rFonts w:eastAsia="黑体"/>
          <w:color w:val="auto"/>
          <w:szCs w:val="28"/>
          <w:highlight w:val="none"/>
        </w:rPr>
        <w:t>iron mangan</w:t>
      </w:r>
      <w:r>
        <w:rPr>
          <w:rFonts w:hint="eastAsia" w:eastAsia="黑体"/>
          <w:color w:val="auto"/>
          <w:szCs w:val="28"/>
          <w:highlight w:val="none"/>
        </w:rPr>
        <w:t>ate</w:t>
      </w:r>
      <w:r>
        <w:rPr>
          <w:rFonts w:eastAsia="黑体"/>
          <w:color w:val="auto"/>
          <w:szCs w:val="28"/>
          <w:highlight w:val="none"/>
        </w:rPr>
        <w:t xml:space="preserve"> for </w:t>
      </w:r>
      <w:r>
        <w:rPr>
          <w:rFonts w:hint="eastAsia" w:eastAsia="黑体"/>
          <w:color w:val="auto"/>
          <w:szCs w:val="28"/>
          <w:highlight w:val="none"/>
        </w:rPr>
        <w:t xml:space="preserve">sodium-ion </w:t>
      </w:r>
      <w:r>
        <w:rPr>
          <w:rFonts w:eastAsia="黑体"/>
          <w:color w:val="auto"/>
          <w:szCs w:val="28"/>
          <w:highlight w:val="none"/>
        </w:rPr>
        <w:t>battery</w:t>
      </w:r>
    </w:p>
    <w:p>
      <w:pPr>
        <w:pStyle w:val="131"/>
        <w:framePr w:w="9639" w:h="6974" w:hRule="exact" w:wrap="around" w:vAnchor="page" w:hAnchor="page" w:x="1419" w:y="6408" w:anchorLock="1"/>
        <w:textAlignment w:val="bottom"/>
        <w:rPr>
          <w:rFonts w:eastAsia="黑体"/>
          <w:color w:val="auto"/>
          <w:szCs w:val="28"/>
          <w:highlight w:val="none"/>
        </w:rPr>
      </w:pPr>
    </w:p>
    <w:p>
      <w:pPr>
        <w:pStyle w:val="131"/>
        <w:framePr w:w="9639" w:h="6974" w:hRule="exact" w:wrap="around" w:vAnchor="page" w:hAnchor="page" w:x="1419" w:y="6408" w:anchorLock="1"/>
        <w:textAlignment w:val="bottom"/>
        <w:rPr>
          <w:rFonts w:eastAsia="黑体"/>
          <w:color w:val="auto"/>
          <w:szCs w:val="28"/>
          <w:highlight w:val="none"/>
        </w:rPr>
      </w:pPr>
    </w:p>
    <w:p>
      <w:pPr>
        <w:pStyle w:val="131"/>
        <w:framePr w:w="9639" w:h="6974" w:hRule="exact" w:wrap="around" w:vAnchor="page" w:hAnchor="page" w:x="1419" w:y="6408" w:anchorLock="1"/>
        <w:textAlignment w:val="bottom"/>
        <w:rPr>
          <w:rFonts w:eastAsia="黑体"/>
          <w:color w:val="auto"/>
          <w:szCs w:val="28"/>
          <w:highlight w:val="none"/>
          <w:lang w:val="fr-FR"/>
        </w:rPr>
      </w:pPr>
      <w:r>
        <w:rPr>
          <w:rFonts w:hint="eastAsia" w:eastAsia="黑体"/>
          <w:color w:val="auto"/>
          <w:szCs w:val="28"/>
          <w:highlight w:val="none"/>
        </w:rPr>
        <w:t>（</w:t>
      </w:r>
      <w:r>
        <w:rPr>
          <w:rFonts w:hint="eastAsia" w:eastAsia="黑体"/>
          <w:color w:val="auto"/>
          <w:szCs w:val="28"/>
          <w:highlight w:val="none"/>
          <w:lang w:val="en-US" w:eastAsia="zh-CN"/>
        </w:rPr>
        <w:t>征求意见</w:t>
      </w:r>
      <w:r>
        <w:rPr>
          <w:rFonts w:hint="eastAsia" w:eastAsia="黑体"/>
          <w:color w:val="auto"/>
          <w:szCs w:val="28"/>
          <w:highlight w:val="none"/>
        </w:rPr>
        <w:t>稿）</w:t>
      </w:r>
    </w:p>
    <w:p>
      <w:pPr>
        <w:pStyle w:val="199"/>
        <w:framePr w:wrap="around" w:y="14176"/>
        <w:rPr>
          <w:color w:val="auto"/>
          <w:highlight w:val="none"/>
          <w:lang w:val="fr-FR"/>
        </w:rPr>
      </w:pPr>
      <w:r>
        <w:rPr>
          <w:rFonts w:ascii="黑体"/>
          <w:color w:val="auto"/>
          <w:highlight w:val="none"/>
        </w:rPr>
        <w:fldChar w:fldCharType="begin">
          <w:ffData>
            <w:name w:val="PLSH_DATE_Y"/>
            <w:enabled/>
            <w:calcOnExit w:val="0"/>
            <w:textInput>
              <w:default w:val="XXXX"/>
              <w:maxLength w:val="4"/>
            </w:textInput>
          </w:ffData>
        </w:fldChar>
      </w:r>
      <w:bookmarkStart w:id="5" w:name="PLSH_DATE_Y"/>
      <w:r>
        <w:rPr>
          <w:rFonts w:ascii="黑体"/>
          <w:color w:val="auto"/>
          <w:highlight w:val="none"/>
          <w:lang w:val="fr-FR"/>
        </w:rPr>
        <w:instrText xml:space="preserve"> FORMTEXT </w:instrText>
      </w:r>
      <w:r>
        <w:rPr>
          <w:rFonts w:ascii="黑体"/>
          <w:color w:val="auto"/>
          <w:highlight w:val="none"/>
        </w:rPr>
        <w:fldChar w:fldCharType="separate"/>
      </w:r>
      <w:r>
        <w:rPr>
          <w:rFonts w:ascii="黑体"/>
          <w:color w:val="auto"/>
          <w:highlight w:val="none"/>
          <w:lang w:val="fr-FR"/>
        </w:rPr>
        <w:t>XXXX</w:t>
      </w:r>
      <w:r>
        <w:rPr>
          <w:rFonts w:ascii="黑体"/>
          <w:color w:val="auto"/>
          <w:highlight w:val="none"/>
        </w:rPr>
        <w:fldChar w:fldCharType="end"/>
      </w:r>
      <w:bookmarkEnd w:id="5"/>
      <w:r>
        <w:rPr>
          <w:color w:val="auto"/>
          <w:highlight w:val="none"/>
          <w:lang w:val="fr-FR"/>
        </w:rPr>
        <w:t xml:space="preserve"> </w:t>
      </w:r>
      <w:r>
        <w:rPr>
          <w:rFonts w:ascii="黑体"/>
          <w:color w:val="auto"/>
          <w:highlight w:val="none"/>
          <w:lang w:val="fr-FR"/>
        </w:rPr>
        <w:t>-</w:t>
      </w:r>
      <w:r>
        <w:rPr>
          <w:color w:val="auto"/>
          <w:highlight w:val="none"/>
          <w:lang w:val="fr-FR"/>
        </w:rPr>
        <w:t xml:space="preserve"> </w:t>
      </w:r>
      <w:r>
        <w:rPr>
          <w:rFonts w:ascii="黑体"/>
          <w:color w:val="auto"/>
          <w:highlight w:val="none"/>
        </w:rPr>
        <w:fldChar w:fldCharType="begin">
          <w:ffData>
            <w:name w:val="PLSH_DATE_M"/>
            <w:enabled/>
            <w:calcOnExit w:val="0"/>
            <w:textInput>
              <w:default w:val="XX"/>
              <w:maxLength w:val="2"/>
            </w:textInput>
          </w:ffData>
        </w:fldChar>
      </w:r>
      <w:bookmarkStart w:id="6" w:name="PLSH_DATE_M"/>
      <w:r>
        <w:rPr>
          <w:rFonts w:ascii="黑体"/>
          <w:color w:val="auto"/>
          <w:highlight w:val="none"/>
          <w:lang w:val="fr-FR"/>
        </w:rPr>
        <w:instrText xml:space="preserve"> FORMTEXT </w:instrText>
      </w:r>
      <w:r>
        <w:rPr>
          <w:rFonts w:ascii="黑体"/>
          <w:color w:val="auto"/>
          <w:highlight w:val="none"/>
        </w:rPr>
        <w:fldChar w:fldCharType="separate"/>
      </w:r>
      <w:r>
        <w:rPr>
          <w:rFonts w:ascii="黑体"/>
          <w:color w:val="auto"/>
          <w:highlight w:val="none"/>
          <w:lang w:val="fr-FR"/>
        </w:rPr>
        <w:t>XX</w:t>
      </w:r>
      <w:r>
        <w:rPr>
          <w:rFonts w:ascii="黑体"/>
          <w:color w:val="auto"/>
          <w:highlight w:val="none"/>
        </w:rPr>
        <w:fldChar w:fldCharType="end"/>
      </w:r>
      <w:bookmarkEnd w:id="6"/>
      <w:r>
        <w:rPr>
          <w:color w:val="auto"/>
          <w:highlight w:val="none"/>
          <w:lang w:val="fr-FR"/>
        </w:rPr>
        <w:t xml:space="preserve"> </w:t>
      </w:r>
      <w:r>
        <w:rPr>
          <w:rFonts w:ascii="黑体"/>
          <w:color w:val="auto"/>
          <w:highlight w:val="none"/>
          <w:lang w:val="fr-FR"/>
        </w:rPr>
        <w:t>-</w:t>
      </w:r>
      <w:r>
        <w:rPr>
          <w:color w:val="auto"/>
          <w:highlight w:val="none"/>
          <w:lang w:val="fr-FR"/>
        </w:rPr>
        <w:t xml:space="preserve"> </w:t>
      </w:r>
      <w:r>
        <w:rPr>
          <w:rFonts w:ascii="黑体"/>
          <w:color w:val="auto"/>
          <w:highlight w:val="none"/>
        </w:rPr>
        <w:fldChar w:fldCharType="begin">
          <w:ffData>
            <w:name w:val="PLSH_DATE_D"/>
            <w:enabled/>
            <w:calcOnExit w:val="0"/>
            <w:textInput>
              <w:default w:val="XX"/>
              <w:maxLength w:val="2"/>
            </w:textInput>
          </w:ffData>
        </w:fldChar>
      </w:r>
      <w:bookmarkStart w:id="7" w:name="PLSH_DATE_D"/>
      <w:r>
        <w:rPr>
          <w:rFonts w:ascii="黑体"/>
          <w:color w:val="auto"/>
          <w:highlight w:val="none"/>
          <w:lang w:val="fr-FR"/>
        </w:rPr>
        <w:instrText xml:space="preserve"> FORMTEXT </w:instrText>
      </w:r>
      <w:r>
        <w:rPr>
          <w:rFonts w:ascii="黑体"/>
          <w:color w:val="auto"/>
          <w:highlight w:val="none"/>
        </w:rPr>
        <w:fldChar w:fldCharType="separate"/>
      </w:r>
      <w:r>
        <w:rPr>
          <w:rFonts w:ascii="黑体"/>
          <w:color w:val="auto"/>
          <w:highlight w:val="none"/>
          <w:lang w:val="fr-FR"/>
        </w:rPr>
        <w:t>XX</w:t>
      </w:r>
      <w:r>
        <w:rPr>
          <w:rFonts w:ascii="黑体"/>
          <w:color w:val="auto"/>
          <w:highlight w:val="none"/>
        </w:rPr>
        <w:fldChar w:fldCharType="end"/>
      </w:r>
      <w:bookmarkEnd w:id="7"/>
      <w:r>
        <w:rPr>
          <w:rFonts w:hint="eastAsia"/>
          <w:color w:val="auto"/>
          <w:highlight w:val="none"/>
        </w:rPr>
        <w:t>发布</w:t>
      </w:r>
    </w:p>
    <w:p>
      <w:pPr>
        <w:pStyle w:val="200"/>
        <w:framePr w:wrap="around" w:y="14176"/>
        <w:rPr>
          <w:color w:val="auto"/>
          <w:highlight w:val="none"/>
          <w:lang w:val="fr-FR"/>
        </w:rPr>
      </w:pPr>
      <w:r>
        <w:rPr>
          <w:rFonts w:ascii="黑体"/>
          <w:color w:val="auto"/>
          <w:highlight w:val="none"/>
        </w:rPr>
        <w:fldChar w:fldCharType="begin">
          <w:ffData>
            <w:name w:val="CROT_DATE_Y"/>
            <w:enabled/>
            <w:calcOnExit w:val="0"/>
            <w:textInput>
              <w:default w:val="XXXX"/>
              <w:maxLength w:val="4"/>
            </w:textInput>
          </w:ffData>
        </w:fldChar>
      </w:r>
      <w:bookmarkStart w:id="8" w:name="CROT_DATE_Y"/>
      <w:r>
        <w:rPr>
          <w:rFonts w:ascii="黑体"/>
          <w:color w:val="auto"/>
          <w:highlight w:val="none"/>
          <w:lang w:val="fr-FR"/>
        </w:rPr>
        <w:instrText xml:space="preserve"> FORMTEXT </w:instrText>
      </w:r>
      <w:r>
        <w:rPr>
          <w:rFonts w:ascii="黑体"/>
          <w:color w:val="auto"/>
          <w:highlight w:val="none"/>
        </w:rPr>
        <w:fldChar w:fldCharType="separate"/>
      </w:r>
      <w:r>
        <w:rPr>
          <w:rFonts w:ascii="黑体"/>
          <w:color w:val="auto"/>
          <w:highlight w:val="none"/>
          <w:lang w:val="fr-FR"/>
        </w:rPr>
        <w:t>XXXX</w:t>
      </w:r>
      <w:r>
        <w:rPr>
          <w:rFonts w:ascii="黑体"/>
          <w:color w:val="auto"/>
          <w:highlight w:val="none"/>
        </w:rPr>
        <w:fldChar w:fldCharType="end"/>
      </w:r>
      <w:bookmarkEnd w:id="8"/>
      <w:r>
        <w:rPr>
          <w:color w:val="auto"/>
          <w:highlight w:val="none"/>
          <w:lang w:val="fr-FR"/>
        </w:rPr>
        <w:t xml:space="preserve"> </w:t>
      </w:r>
      <w:r>
        <w:rPr>
          <w:rFonts w:ascii="黑体"/>
          <w:color w:val="auto"/>
          <w:highlight w:val="none"/>
          <w:lang w:val="fr-FR"/>
        </w:rPr>
        <w:t>-</w:t>
      </w:r>
      <w:r>
        <w:rPr>
          <w:color w:val="auto"/>
          <w:highlight w:val="none"/>
          <w:lang w:val="fr-FR"/>
        </w:rPr>
        <w:t xml:space="preserve"> </w:t>
      </w:r>
      <w:r>
        <w:rPr>
          <w:rFonts w:ascii="黑体"/>
          <w:color w:val="auto"/>
          <w:highlight w:val="none"/>
        </w:rPr>
        <w:fldChar w:fldCharType="begin">
          <w:ffData>
            <w:name w:val="CROT_DATE_M"/>
            <w:enabled/>
            <w:calcOnExit w:val="0"/>
            <w:textInput>
              <w:default w:val="XX"/>
              <w:maxLength w:val="2"/>
            </w:textInput>
          </w:ffData>
        </w:fldChar>
      </w:r>
      <w:bookmarkStart w:id="9" w:name="CROT_DATE_M"/>
      <w:r>
        <w:rPr>
          <w:rFonts w:ascii="黑体"/>
          <w:color w:val="auto"/>
          <w:highlight w:val="none"/>
          <w:lang w:val="fr-FR"/>
        </w:rPr>
        <w:instrText xml:space="preserve"> FORMTEXT </w:instrText>
      </w:r>
      <w:r>
        <w:rPr>
          <w:rFonts w:ascii="黑体"/>
          <w:color w:val="auto"/>
          <w:highlight w:val="none"/>
        </w:rPr>
        <w:fldChar w:fldCharType="separate"/>
      </w:r>
      <w:r>
        <w:rPr>
          <w:rFonts w:ascii="黑体"/>
          <w:color w:val="auto"/>
          <w:highlight w:val="none"/>
          <w:lang w:val="fr-FR"/>
        </w:rPr>
        <w:t>XX</w:t>
      </w:r>
      <w:r>
        <w:rPr>
          <w:rFonts w:ascii="黑体"/>
          <w:color w:val="auto"/>
          <w:highlight w:val="none"/>
        </w:rPr>
        <w:fldChar w:fldCharType="end"/>
      </w:r>
      <w:bookmarkEnd w:id="9"/>
      <w:r>
        <w:rPr>
          <w:color w:val="auto"/>
          <w:highlight w:val="none"/>
          <w:lang w:val="fr-FR"/>
        </w:rPr>
        <w:t xml:space="preserve"> </w:t>
      </w:r>
      <w:r>
        <w:rPr>
          <w:rFonts w:ascii="黑体"/>
          <w:color w:val="auto"/>
          <w:highlight w:val="none"/>
          <w:lang w:val="fr-FR"/>
        </w:rPr>
        <w:t>-</w:t>
      </w:r>
      <w:r>
        <w:rPr>
          <w:color w:val="auto"/>
          <w:highlight w:val="none"/>
          <w:lang w:val="fr-FR"/>
        </w:rPr>
        <w:t xml:space="preserve"> </w:t>
      </w:r>
      <w:r>
        <w:rPr>
          <w:rFonts w:ascii="黑体"/>
          <w:color w:val="auto"/>
          <w:highlight w:val="none"/>
        </w:rPr>
        <w:fldChar w:fldCharType="begin">
          <w:ffData>
            <w:name w:val="CROT_DATE_D"/>
            <w:enabled/>
            <w:calcOnExit w:val="0"/>
            <w:textInput>
              <w:default w:val="XX"/>
              <w:maxLength w:val="2"/>
            </w:textInput>
          </w:ffData>
        </w:fldChar>
      </w:r>
      <w:bookmarkStart w:id="10" w:name="CROT_DATE_D"/>
      <w:r>
        <w:rPr>
          <w:rFonts w:ascii="黑体"/>
          <w:color w:val="auto"/>
          <w:highlight w:val="none"/>
          <w:lang w:val="fr-FR"/>
        </w:rPr>
        <w:instrText xml:space="preserve"> FORMTEXT </w:instrText>
      </w:r>
      <w:r>
        <w:rPr>
          <w:rFonts w:ascii="黑体"/>
          <w:color w:val="auto"/>
          <w:highlight w:val="none"/>
        </w:rPr>
        <w:fldChar w:fldCharType="separate"/>
      </w:r>
      <w:r>
        <w:rPr>
          <w:rFonts w:ascii="黑体"/>
          <w:color w:val="auto"/>
          <w:highlight w:val="none"/>
          <w:lang w:val="fr-FR"/>
        </w:rPr>
        <w:t>XX</w:t>
      </w:r>
      <w:r>
        <w:rPr>
          <w:rFonts w:ascii="黑体"/>
          <w:color w:val="auto"/>
          <w:highlight w:val="none"/>
        </w:rPr>
        <w:fldChar w:fldCharType="end"/>
      </w:r>
      <w:bookmarkEnd w:id="10"/>
      <w:r>
        <w:rPr>
          <w:rFonts w:hint="eastAsia"/>
          <w:color w:val="auto"/>
          <w:highlight w:val="none"/>
        </w:rPr>
        <w:t>实施</w:t>
      </w:r>
    </w:p>
    <w:p>
      <w:pPr>
        <w:pStyle w:val="157"/>
        <w:framePr w:h="584" w:hRule="exact" w:hSpace="181" w:vSpace="181" w:wrap="around" w:vAnchor="page" w:hAnchor="page" w:x="2679" w:y="14972"/>
        <w:rPr>
          <w:rFonts w:hAnsi="黑体"/>
          <w:color w:val="auto"/>
          <w:highlight w:val="none"/>
        </w:rPr>
      </w:pPr>
      <w:r>
        <w:rPr>
          <w:rFonts w:hAnsi="黑体"/>
          <w:color w:val="auto"/>
          <w:w w:val="100"/>
          <w:sz w:val="28"/>
          <w:highlight w:val="none"/>
        </w:rPr>
        <w:fldChar w:fldCharType="begin">
          <w:ffData>
            <w:name w:val="fm"/>
            <w:enabled/>
            <w:calcOnExit w:val="0"/>
            <w:textInput/>
          </w:ffData>
        </w:fldChar>
      </w:r>
      <w:bookmarkStart w:id="11" w:name="fm"/>
      <w:r>
        <w:rPr>
          <w:rFonts w:hAnsi="黑体"/>
          <w:color w:val="auto"/>
          <w:w w:val="100"/>
          <w:sz w:val="28"/>
          <w:highlight w:val="none"/>
        </w:rPr>
        <w:instrText xml:space="preserve"> FORMTEXT </w:instrText>
      </w:r>
      <w:r>
        <w:rPr>
          <w:rFonts w:hAnsi="黑体"/>
          <w:color w:val="auto"/>
          <w:w w:val="100"/>
          <w:sz w:val="28"/>
          <w:highlight w:val="none"/>
        </w:rPr>
        <w:fldChar w:fldCharType="separate"/>
      </w:r>
      <w:r>
        <w:rPr>
          <w:rFonts w:hint="eastAsia" w:hAnsi="黑体"/>
          <w:color w:val="auto"/>
          <w:w w:val="100"/>
          <w:sz w:val="28"/>
          <w:highlight w:val="none"/>
        </w:rPr>
        <w:t>中华人民共和国工业和信息化部</w:t>
      </w:r>
      <w:r>
        <w:rPr>
          <w:rFonts w:hAnsi="黑体"/>
          <w:color w:val="auto"/>
          <w:w w:val="100"/>
          <w:sz w:val="28"/>
          <w:highlight w:val="none"/>
        </w:rPr>
        <w:fldChar w:fldCharType="end"/>
      </w:r>
      <w:bookmarkEnd w:id="11"/>
      <w:r>
        <w:rPr>
          <w:rFonts w:ascii="Times New Roman"/>
          <w:color w:val="auto"/>
          <w:w w:val="100"/>
          <w:sz w:val="28"/>
          <w:szCs w:val="28"/>
          <w:highlight w:val="none"/>
        </w:rPr>
        <w:t>  </w:t>
      </w:r>
      <w:r>
        <w:rPr>
          <w:rStyle w:val="235"/>
          <w:rFonts w:hint="eastAsia" w:hAnsi="黑体"/>
          <w:color w:val="auto"/>
          <w:position w:val="0"/>
          <w:highlight w:val="none"/>
        </w:rPr>
        <w:t>发</w:t>
      </w:r>
      <w:r>
        <w:rPr>
          <w:rStyle w:val="235"/>
          <w:rFonts w:hint="eastAsia" w:hAnsi="黑体"/>
          <w:color w:val="auto"/>
          <w:spacing w:val="0"/>
          <w:position w:val="0"/>
          <w:highlight w:val="none"/>
        </w:rPr>
        <w:t>布</w:t>
      </w:r>
    </w:p>
    <w:p>
      <w:pPr>
        <w:pStyle w:val="201"/>
        <w:framePr w:h="270" w:hRule="exact" w:y="3638"/>
        <w:rPr>
          <w:color w:val="auto"/>
          <w:highlight w:val="none"/>
          <w:lang w:val="fr-FR"/>
        </w:rPr>
      </w:pPr>
      <w:r>
        <w:rPr>
          <w:color w:val="auto"/>
          <w:highlight w:val="none"/>
        </w:rPr>
        <w:fldChar w:fldCharType="begin">
          <w:ffData>
            <w:name w:val="文字1"/>
            <w:enabled/>
            <w:calcOnExit w:val="0"/>
            <w:textInput>
              <w:default w:val="XX/T"/>
            </w:textInput>
          </w:ffData>
        </w:fldChar>
      </w:r>
      <w:bookmarkStart w:id="12" w:name="文字1"/>
      <w:r>
        <w:rPr>
          <w:color w:val="auto"/>
          <w:highlight w:val="none"/>
          <w:lang w:val="fr-FR"/>
        </w:rPr>
        <w:instrText xml:space="preserve"> FORMTEXT </w:instrText>
      </w:r>
      <w:r>
        <w:rPr>
          <w:color w:val="auto"/>
          <w:highlight w:val="none"/>
        </w:rPr>
        <w:fldChar w:fldCharType="separate"/>
      </w:r>
      <w:r>
        <w:rPr>
          <w:color w:val="auto"/>
          <w:highlight w:val="none"/>
        </w:rPr>
        <w:t>HG</w:t>
      </w:r>
      <w:r>
        <w:rPr>
          <w:color w:val="auto"/>
          <w:highlight w:val="none"/>
          <w:lang w:val="fr-FR"/>
        </w:rPr>
        <w:t>/T</w:t>
      </w:r>
      <w:r>
        <w:rPr>
          <w:color w:val="auto"/>
          <w:highlight w:val="none"/>
        </w:rPr>
        <w:fldChar w:fldCharType="end"/>
      </w:r>
      <w:bookmarkEnd w:id="12"/>
      <w:r>
        <w:rPr>
          <w:color w:val="auto"/>
          <w:highlight w:val="none"/>
          <w:lang w:val="fr-FR"/>
        </w:rPr>
        <w:t xml:space="preserve"> </w:t>
      </w:r>
      <w:r>
        <w:rPr>
          <w:color w:val="auto"/>
          <w:highlight w:val="none"/>
        </w:rPr>
        <w:fldChar w:fldCharType="begin">
          <w:ffData>
            <w:name w:val="NSTD_CODE_F"/>
            <w:enabled/>
            <w:calcOnExit w:val="0"/>
            <w:textInput>
              <w:default w:val="XXXXX"/>
            </w:textInput>
          </w:ffData>
        </w:fldChar>
      </w:r>
      <w:bookmarkStart w:id="13" w:name="NSTD_CODE_F"/>
      <w:r>
        <w:rPr>
          <w:color w:val="auto"/>
          <w:highlight w:val="none"/>
          <w:lang w:val="fr-FR"/>
        </w:rPr>
        <w:instrText xml:space="preserve"> FORMTEXT </w:instrText>
      </w:r>
      <w:r>
        <w:rPr>
          <w:color w:val="auto"/>
          <w:highlight w:val="none"/>
        </w:rPr>
        <w:fldChar w:fldCharType="separate"/>
      </w:r>
      <w:r>
        <w:rPr>
          <w:color w:val="auto"/>
          <w:highlight w:val="none"/>
          <w:lang w:val="fr-FR"/>
        </w:rPr>
        <w:t>XXXXX</w:t>
      </w:r>
      <w:r>
        <w:rPr>
          <w:color w:val="auto"/>
          <w:highlight w:val="none"/>
        </w:rPr>
        <w:fldChar w:fldCharType="end"/>
      </w:r>
      <w:bookmarkEnd w:id="13"/>
      <w:r>
        <w:rPr>
          <w:rFonts w:hAnsi="黑体"/>
          <w:color w:val="auto"/>
          <w:highlight w:val="none"/>
          <w:lang w:val="fr-FR"/>
        </w:rPr>
        <w:t>—</w:t>
      </w:r>
      <w:r>
        <w:rPr>
          <w:color w:val="auto"/>
          <w:highlight w:val="none"/>
        </w:rPr>
        <w:fldChar w:fldCharType="begin">
          <w:ffData>
            <w:name w:val="NSTD_CODE_B"/>
            <w:enabled/>
            <w:calcOnExit w:val="0"/>
            <w:textInput>
              <w:default w:val="XXXX"/>
            </w:textInput>
          </w:ffData>
        </w:fldChar>
      </w:r>
      <w:bookmarkStart w:id="14" w:name="NSTD_CODE_B"/>
      <w:r>
        <w:rPr>
          <w:color w:val="auto"/>
          <w:highlight w:val="none"/>
          <w:lang w:val="fr-FR"/>
        </w:rPr>
        <w:instrText xml:space="preserve"> FORMTEXT </w:instrText>
      </w:r>
      <w:r>
        <w:rPr>
          <w:color w:val="auto"/>
          <w:highlight w:val="none"/>
        </w:rPr>
        <w:fldChar w:fldCharType="separate"/>
      </w:r>
      <w:r>
        <w:rPr>
          <w:color w:val="auto"/>
          <w:highlight w:val="none"/>
          <w:lang w:val="fr-FR"/>
        </w:rPr>
        <w:t>XXXX</w:t>
      </w:r>
      <w:r>
        <w:rPr>
          <w:color w:val="auto"/>
          <w:highlight w:val="none"/>
        </w:rPr>
        <w:fldChar w:fldCharType="end"/>
      </w:r>
      <w:bookmarkEnd w:id="14"/>
    </w:p>
    <w:p>
      <w:pPr>
        <w:pStyle w:val="202"/>
        <w:framePr w:h="270" w:hRule="exact" w:y="3638"/>
        <w:rPr>
          <w:rFonts w:hAnsi="黑体"/>
          <w:color w:val="auto"/>
          <w:highlight w:val="none"/>
          <w:lang w:val="fr-FR"/>
        </w:rPr>
      </w:pPr>
    </w:p>
    <w:p>
      <w:pPr>
        <w:rPr>
          <w:rFonts w:ascii="宋体" w:hAnsi="宋体"/>
          <w:color w:val="auto"/>
          <w:sz w:val="28"/>
          <w:szCs w:val="28"/>
          <w:highlight w:val="none"/>
        </w:rPr>
        <w:sectPr>
          <w:headerReference r:id="rId5" w:type="first"/>
          <w:footerReference r:id="rId7" w:type="first"/>
          <w:footerReference r:id="rId6" w:type="even"/>
          <w:type w:val="continuous"/>
          <w:pgSz w:w="11906" w:h="16838"/>
          <w:pgMar w:top="1417" w:right="1417" w:bottom="1417" w:left="1417" w:header="1418" w:footer="1134" w:gutter="283"/>
          <w:cols w:space="0" w:num="1"/>
          <w:docGrid w:linePitch="312" w:charSpace="0"/>
        </w:sectPr>
      </w:pPr>
      <w:r>
        <w:rPr>
          <w:rFonts w:ascii="宋体" w:hAnsi="宋体"/>
          <w:color w:val="auto"/>
          <w:sz w:val="28"/>
          <w:szCs w:val="28"/>
          <w:highlight w:val="none"/>
        </w:rPr>
        <w:pict>
          <v:line id="_x0000_s1026" o:spid="_x0000_s1026" o:spt="20" style="position:absolute;left:0pt;margin-left:62.4pt;margin-top:208.05pt;height:0pt;width:481.9pt;mso-position-horizontal-relative:page;mso-position-vertical-relative:page;z-index:251660288;mso-width-relative:page;mso-height-relative:page;" coordsize="21600,21600" o:gfxdata="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Moibf3XAAAADAEA&#10;AA8AAAAAAAAAAQAgAAAAIgAAAGRycy9kb3ducmV2LnhtbFBLAQIUABQAAAAIAIdO4kBN1FcE4gEA&#10;AKoDAAAOAAAAAAAAAAEAIAAAACYBAABkcnMvZTJvRG9jLnhtbFBLBQYAAAAABgAGAFkBAAB6BQAA&#10;AAA=&#10;">
            <v:path arrowok="t"/>
            <v:fill focussize="0,0"/>
            <v:stroke/>
            <v:imagedata o:title=""/>
            <o:lock v:ext="edit"/>
            <w10:anchorlock/>
          </v:line>
        </w:pict>
      </w:r>
      <w:r>
        <w:rPr>
          <w:rFonts w:ascii="宋体" w:hAnsi="宋体"/>
          <w:color w:val="auto"/>
          <w:sz w:val="28"/>
          <w:szCs w:val="28"/>
          <w:highlight w:val="none"/>
        </w:rPr>
        <w:pict>
          <v:line id="_x0000_s1027" o:spid="_x0000_s1027" o:spt="20" style="position:absolute;left:0pt;margin-left:70.85pt;margin-top:728.5pt;height:0pt;width:481.9pt;mso-position-horizontal-relative:page;mso-position-vertical-relative:page;z-index:251659264;mso-width-relative:page;mso-height-relative:page;" coordsize="21600,21600" o:gfxdata="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IIroS1wAAAA4B&#10;AAAPAAAAAAAAAAEAIAAAACIAAABkcnMvZG93bnJldi54bWxQSwECFAAUAAAACACHTuJAAzUM5uMB&#10;AACqAwAADgAAAAAAAAABACAAAAAmAQAAZHJzL2Uyb0RvYy54bWxQSwUGAAAAAAYABgBZAQAAewUA&#10;AAAA&#10;">
            <v:path arrowok="t"/>
            <v:fill focussize="0,0"/>
            <v:stroke/>
            <v:imagedata o:title=""/>
            <o:lock v:ext="edit"/>
            <w10:anchorlock/>
          </v:line>
        </w:pict>
      </w:r>
    </w:p>
    <w:p>
      <w:pPr>
        <w:pStyle w:val="95"/>
        <w:spacing w:after="360"/>
        <w:rPr>
          <w:color w:val="auto"/>
          <w:highlight w:val="none"/>
        </w:rPr>
      </w:pPr>
      <w:bookmarkStart w:id="15" w:name="BookMark2"/>
      <w:r>
        <w:rPr>
          <w:color w:val="auto"/>
          <w:spacing w:val="320"/>
          <w:highlight w:val="none"/>
        </w:rPr>
        <w:t>前</w:t>
      </w:r>
      <w:r>
        <w:rPr>
          <w:color w:val="auto"/>
          <w:highlight w:val="none"/>
        </w:rPr>
        <w:t>言</w:t>
      </w:r>
    </w:p>
    <w:p>
      <w:pPr>
        <w:pStyle w:val="62"/>
        <w:spacing w:line="360" w:lineRule="exact"/>
        <w:ind w:firstLine="420"/>
        <w:rPr>
          <w:rFonts w:ascii="Times New Roman"/>
          <w:color w:val="auto"/>
          <w:highlight w:val="none"/>
        </w:rPr>
      </w:pPr>
      <w:r>
        <w:rPr>
          <w:rFonts w:ascii="Times New Roman"/>
          <w:color w:val="auto"/>
          <w:highlight w:val="none"/>
        </w:rPr>
        <w:t>本文件按照GB/T 1.1—2020《标准化工作导则  第1部分：标准化文件的结构和起草规则》的规定起草。</w:t>
      </w:r>
    </w:p>
    <w:p>
      <w:pPr>
        <w:pStyle w:val="236"/>
        <w:spacing w:line="360" w:lineRule="exact"/>
        <w:rPr>
          <w:rFonts w:ascii="Times New Roman"/>
          <w:color w:val="auto"/>
          <w:highlight w:val="none"/>
        </w:rPr>
      </w:pPr>
      <w:r>
        <w:rPr>
          <w:rFonts w:ascii="Times New Roman"/>
          <w:color w:val="auto"/>
          <w:highlight w:val="none"/>
        </w:rPr>
        <w:t>请注意本文件的某些内容可能涉及专利。本文件的发布机构不承担识别专利的责任。</w:t>
      </w:r>
    </w:p>
    <w:p>
      <w:pPr>
        <w:pStyle w:val="62"/>
        <w:spacing w:line="360" w:lineRule="exact"/>
        <w:ind w:firstLine="420"/>
        <w:rPr>
          <w:color w:val="auto"/>
          <w:highlight w:val="none"/>
        </w:rPr>
      </w:pPr>
      <w:r>
        <w:rPr>
          <w:rFonts w:hint="eastAsia"/>
          <w:color w:val="auto"/>
          <w:highlight w:val="none"/>
        </w:rPr>
        <w:t>本文件由</w:t>
      </w:r>
      <w:r>
        <w:rPr>
          <w:rFonts w:hint="eastAsia"/>
          <w:color w:val="auto"/>
          <w:szCs w:val="21"/>
          <w:highlight w:val="none"/>
        </w:rPr>
        <w:t>中国石油和化学工业联合会</w:t>
      </w:r>
      <w:r>
        <w:rPr>
          <w:rFonts w:hint="eastAsia"/>
          <w:color w:val="auto"/>
          <w:highlight w:val="none"/>
        </w:rPr>
        <w:t>提出。</w:t>
      </w:r>
    </w:p>
    <w:p>
      <w:pPr>
        <w:pStyle w:val="236"/>
        <w:spacing w:line="360" w:lineRule="exact"/>
        <w:rPr>
          <w:rFonts w:ascii="Times New Roman"/>
          <w:color w:val="auto"/>
          <w:highlight w:val="none"/>
        </w:rPr>
      </w:pPr>
      <w:r>
        <w:rPr>
          <w:rFonts w:ascii="Times New Roman"/>
          <w:color w:val="auto"/>
          <w:highlight w:val="none"/>
        </w:rPr>
        <w:t>本文件由全国化学标准化技术委员会无机化工分</w:t>
      </w:r>
      <w:r>
        <w:rPr>
          <w:rFonts w:hint="eastAsia" w:ascii="Times New Roman"/>
          <w:color w:val="auto"/>
          <w:highlight w:val="none"/>
        </w:rPr>
        <w:t>技术委员</w:t>
      </w:r>
      <w:r>
        <w:rPr>
          <w:rFonts w:ascii="Times New Roman"/>
          <w:color w:val="auto"/>
          <w:highlight w:val="none"/>
        </w:rPr>
        <w:t>会（SAC/TC63/SC1）</w:t>
      </w:r>
      <w:r>
        <w:rPr>
          <w:rFonts w:hint="eastAsia" w:ascii="Times New Roman"/>
          <w:color w:val="auto"/>
          <w:highlight w:val="none"/>
        </w:rPr>
        <w:t>和</w:t>
      </w:r>
      <w:r>
        <w:rPr>
          <w:rFonts w:ascii="Times New Roman"/>
          <w:color w:val="auto"/>
          <w:highlight w:val="none"/>
        </w:rPr>
        <w:t>全国有色金属标准化技术委员会（SAC/TC243）</w:t>
      </w:r>
      <w:r>
        <w:rPr>
          <w:rFonts w:hint="eastAsia" w:ascii="Times New Roman"/>
          <w:color w:val="auto"/>
          <w:highlight w:val="none"/>
        </w:rPr>
        <w:t>共同</w:t>
      </w:r>
      <w:r>
        <w:rPr>
          <w:rFonts w:ascii="Times New Roman"/>
          <w:color w:val="auto"/>
          <w:highlight w:val="none"/>
        </w:rPr>
        <w:t>归口。</w:t>
      </w:r>
    </w:p>
    <w:p>
      <w:pPr>
        <w:pStyle w:val="62"/>
        <w:spacing w:line="360" w:lineRule="exact"/>
        <w:ind w:firstLine="420"/>
        <w:rPr>
          <w:rFonts w:ascii="Times New Roman"/>
          <w:color w:val="auto"/>
          <w:highlight w:val="none"/>
        </w:rPr>
      </w:pPr>
      <w:r>
        <w:rPr>
          <w:rFonts w:ascii="Times New Roman"/>
          <w:color w:val="auto"/>
          <w:highlight w:val="none"/>
        </w:rPr>
        <w:t>本文件起草单位：</w:t>
      </w:r>
    </w:p>
    <w:p>
      <w:pPr>
        <w:pStyle w:val="62"/>
        <w:spacing w:line="360" w:lineRule="exact"/>
        <w:ind w:firstLine="420"/>
        <w:rPr>
          <w:rFonts w:ascii="Times New Roman"/>
          <w:color w:val="auto"/>
          <w:highlight w:val="none"/>
        </w:rPr>
      </w:pPr>
      <w:r>
        <w:rPr>
          <w:rFonts w:ascii="Times New Roman"/>
          <w:color w:val="auto"/>
          <w:highlight w:val="none"/>
        </w:rPr>
        <w:t>本文件主要起草人：</w:t>
      </w:r>
    </w:p>
    <w:p>
      <w:pPr>
        <w:pStyle w:val="62"/>
        <w:spacing w:line="360" w:lineRule="exact"/>
        <w:ind w:firstLine="420"/>
        <w:rPr>
          <w:rFonts w:ascii="Times New Roman"/>
          <w:color w:val="auto"/>
          <w:highlight w:val="none"/>
        </w:rPr>
      </w:pPr>
    </w:p>
    <w:p>
      <w:pPr>
        <w:pStyle w:val="62"/>
        <w:ind w:firstLine="420"/>
        <w:rPr>
          <w:color w:val="auto"/>
          <w:highlight w:val="none"/>
        </w:rPr>
        <w:sectPr>
          <w:headerReference r:id="rId8" w:type="default"/>
          <w:footerReference r:id="rId10" w:type="default"/>
          <w:headerReference r:id="rId9" w:type="even"/>
          <w:pgSz w:w="11906" w:h="16838"/>
          <w:pgMar w:top="1417" w:right="1417" w:bottom="1417" w:left="1417" w:header="1418" w:footer="1134" w:gutter="283"/>
          <w:pgNumType w:fmt="upperRoman" w:start="1"/>
          <w:cols w:space="0" w:num="1"/>
          <w:formProt w:val="0"/>
          <w:docGrid w:linePitch="312" w:charSpace="0"/>
        </w:sectPr>
      </w:pPr>
    </w:p>
    <w:bookmarkEnd w:id="15"/>
    <w:p>
      <w:pPr>
        <w:spacing w:line="20" w:lineRule="exact"/>
        <w:jc w:val="center"/>
        <w:rPr>
          <w:rFonts w:ascii="黑体" w:hAnsi="黑体" w:eastAsia="黑体"/>
          <w:color w:val="auto"/>
          <w:sz w:val="32"/>
          <w:szCs w:val="32"/>
          <w:highlight w:val="none"/>
        </w:rPr>
      </w:pPr>
      <w:bookmarkStart w:id="16" w:name="BookMark4"/>
    </w:p>
    <w:p>
      <w:pPr>
        <w:spacing w:line="20" w:lineRule="exact"/>
        <w:jc w:val="center"/>
        <w:rPr>
          <w:rFonts w:ascii="黑体" w:hAnsi="黑体" w:eastAsia="黑体"/>
          <w:color w:val="auto"/>
          <w:sz w:val="32"/>
          <w:szCs w:val="32"/>
          <w:highlight w:val="none"/>
        </w:rPr>
      </w:pPr>
    </w:p>
    <w:sdt>
      <w:sdtPr>
        <w:rPr>
          <w:color w:val="auto"/>
          <w:highlight w:val="none"/>
        </w:rPr>
        <w:tag w:val="NEW_STAND_NAME"/>
        <w:id w:val="595910757"/>
        <w:lock w:val="sdtLocked"/>
        <w:placeholder>
          <w:docPart w:val="9B087E892FD8409EBC3DB8D065C2DE53"/>
        </w:placeholder>
      </w:sdtPr>
      <w:sdtEndPr>
        <w:rPr>
          <w:color w:val="auto"/>
          <w:highlight w:val="none"/>
        </w:rPr>
      </w:sdtEndPr>
      <w:sdtContent>
        <w:p>
          <w:pPr>
            <w:pStyle w:val="183"/>
            <w:spacing w:beforeLines="1" w:afterLines="220"/>
            <w:rPr>
              <w:color w:val="auto"/>
              <w:highlight w:val="none"/>
            </w:rPr>
          </w:pPr>
          <w:bookmarkStart w:id="17" w:name="NEW_STAND_NAME"/>
          <w:r>
            <w:rPr>
              <w:rFonts w:hint="eastAsia"/>
              <w:color w:val="auto"/>
              <w:highlight w:val="none"/>
            </w:rPr>
            <w:t>钠离子电池用铜铁锰酸钠</w:t>
          </w:r>
        </w:p>
      </w:sdtContent>
    </w:sdt>
    <w:bookmarkEnd w:id="17"/>
    <w:p>
      <w:pPr>
        <w:widowControl/>
        <w:numPr>
          <w:ilvl w:val="1"/>
          <w:numId w:val="2"/>
        </w:numPr>
        <w:adjustRightInd/>
        <w:spacing w:beforeLines="100" w:afterLines="100" w:line="360" w:lineRule="exact"/>
        <w:outlineLvl w:val="0"/>
        <w:rPr>
          <w:rFonts w:ascii="Times New Roman" w:hAnsi="Times New Roman" w:eastAsia="黑体"/>
          <w:color w:val="auto"/>
          <w:kern w:val="0"/>
          <w:szCs w:val="20"/>
          <w:highlight w:val="none"/>
        </w:rPr>
      </w:pPr>
      <w:bookmarkStart w:id="18" w:name="_Toc26718930"/>
      <w:bookmarkStart w:id="19" w:name="_Toc24884218"/>
      <w:bookmarkStart w:id="20" w:name="_Toc26986771"/>
      <w:bookmarkStart w:id="21" w:name="_Toc17233325"/>
      <w:bookmarkStart w:id="22" w:name="_Toc24884211"/>
      <w:bookmarkStart w:id="23" w:name="_Toc26986530"/>
      <w:bookmarkStart w:id="24" w:name="_Toc26648465"/>
      <w:bookmarkStart w:id="25" w:name="_Toc17233333"/>
      <w:r>
        <w:rPr>
          <w:rFonts w:hint="eastAsia" w:ascii="Times New Roman" w:hAnsi="Times New Roman" w:eastAsia="黑体"/>
          <w:color w:val="auto"/>
          <w:kern w:val="0"/>
          <w:szCs w:val="20"/>
          <w:highlight w:val="none"/>
        </w:rPr>
        <w:t>范围</w:t>
      </w:r>
      <w:bookmarkEnd w:id="18"/>
      <w:bookmarkEnd w:id="19"/>
      <w:bookmarkEnd w:id="20"/>
      <w:bookmarkEnd w:id="21"/>
      <w:bookmarkEnd w:id="22"/>
      <w:bookmarkEnd w:id="23"/>
      <w:bookmarkEnd w:id="24"/>
      <w:bookmarkEnd w:id="25"/>
    </w:p>
    <w:p>
      <w:pPr>
        <w:widowControl/>
        <w:autoSpaceDE w:val="0"/>
        <w:autoSpaceDN w:val="0"/>
        <w:adjustRightInd/>
        <w:spacing w:line="360" w:lineRule="exact"/>
        <w:ind w:firstLine="420" w:firstLineChars="200"/>
        <w:rPr>
          <w:rFonts w:ascii="Times New Roman" w:hAnsi="Times New Roman"/>
          <w:color w:val="auto"/>
          <w:kern w:val="0"/>
          <w:szCs w:val="20"/>
          <w:highlight w:val="none"/>
        </w:rPr>
      </w:pPr>
      <w:bookmarkStart w:id="26" w:name="_Toc24884212"/>
      <w:bookmarkStart w:id="27" w:name="_Toc17233334"/>
      <w:bookmarkStart w:id="28" w:name="_Toc17233326"/>
      <w:bookmarkStart w:id="29" w:name="_Toc24884219"/>
      <w:bookmarkStart w:id="30" w:name="_Toc26648466"/>
      <w:r>
        <w:rPr>
          <w:rFonts w:hint="eastAsia" w:ascii="Times New Roman" w:hAnsi="Times New Roman"/>
          <w:color w:val="auto"/>
          <w:kern w:val="0"/>
          <w:szCs w:val="20"/>
          <w:highlight w:val="none"/>
        </w:rPr>
        <w:t>本文件规定了钠离子电池用铜铁锰酸钠的要求、</w:t>
      </w:r>
      <w:r>
        <w:rPr>
          <w:rFonts w:hint="eastAsia" w:ascii="Times New Roman" w:hAnsi="宋体" w:cs="黑体"/>
          <w:color w:val="auto"/>
          <w:highlight w:val="none"/>
        </w:rPr>
        <w:t>试验方法、检验规则、标志和随行文件以及包装、运输、贮存。</w:t>
      </w:r>
    </w:p>
    <w:p>
      <w:pPr>
        <w:widowControl/>
        <w:autoSpaceDE w:val="0"/>
        <w:autoSpaceDN w:val="0"/>
        <w:adjustRightInd/>
        <w:spacing w:line="360" w:lineRule="exact"/>
        <w:ind w:firstLine="420" w:firstLineChars="200"/>
        <w:rPr>
          <w:rFonts w:ascii="Times New Roman" w:hAnsi="Times New Roman"/>
          <w:color w:val="auto"/>
          <w:kern w:val="0"/>
          <w:szCs w:val="20"/>
          <w:highlight w:val="none"/>
        </w:rPr>
      </w:pPr>
      <w:r>
        <w:rPr>
          <w:rFonts w:hint="eastAsia" w:ascii="Times New Roman" w:hAnsi="Times New Roman"/>
          <w:color w:val="auto"/>
          <w:kern w:val="0"/>
          <w:szCs w:val="20"/>
          <w:highlight w:val="none"/>
        </w:rPr>
        <w:t>本文件适用于钠离子电池用铜铁锰酸钠。</w:t>
      </w:r>
    </w:p>
    <w:p>
      <w:pPr>
        <w:widowControl/>
        <w:autoSpaceDE w:val="0"/>
        <w:autoSpaceDN w:val="0"/>
        <w:adjustRightInd/>
        <w:spacing w:line="360" w:lineRule="exact"/>
        <w:ind w:firstLine="360" w:firstLineChars="200"/>
        <w:rPr>
          <w:rFonts w:ascii="Times New Roman" w:hAnsi="Times New Roman"/>
          <w:color w:val="auto"/>
          <w:kern w:val="0"/>
          <w:sz w:val="18"/>
          <w:szCs w:val="18"/>
          <w:highlight w:val="none"/>
        </w:rPr>
      </w:pPr>
      <w:r>
        <w:rPr>
          <w:rFonts w:hint="eastAsia" w:ascii="黑体" w:hAnsi="黑体" w:eastAsia="黑体"/>
          <w:color w:val="auto"/>
          <w:kern w:val="0"/>
          <w:sz w:val="18"/>
          <w:szCs w:val="18"/>
          <w:highlight w:val="none"/>
        </w:rPr>
        <w:t>注：</w:t>
      </w:r>
      <w:r>
        <w:rPr>
          <w:rFonts w:hint="eastAsia" w:ascii="Times New Roman" w:hAnsi="Times New Roman"/>
          <w:color w:val="auto"/>
          <w:kern w:val="0"/>
          <w:sz w:val="18"/>
          <w:szCs w:val="18"/>
          <w:highlight w:val="none"/>
        </w:rPr>
        <w:t>该产品主要作为钠离子电池的正极材料。</w:t>
      </w:r>
    </w:p>
    <w:p>
      <w:pPr>
        <w:widowControl/>
        <w:numPr>
          <w:ilvl w:val="1"/>
          <w:numId w:val="2"/>
        </w:numPr>
        <w:adjustRightInd/>
        <w:spacing w:beforeLines="100" w:afterLines="100" w:line="360" w:lineRule="exact"/>
        <w:outlineLvl w:val="0"/>
        <w:rPr>
          <w:rFonts w:ascii="Times New Roman" w:hAnsi="Times New Roman" w:eastAsia="黑体"/>
          <w:color w:val="auto"/>
          <w:kern w:val="0"/>
          <w:szCs w:val="20"/>
          <w:highlight w:val="none"/>
        </w:rPr>
      </w:pPr>
      <w:bookmarkStart w:id="31" w:name="_Toc26986772"/>
      <w:bookmarkStart w:id="32" w:name="_Toc26986531"/>
      <w:bookmarkStart w:id="33" w:name="_Toc26718931"/>
      <w:r>
        <w:rPr>
          <w:rFonts w:hint="eastAsia" w:ascii="Times New Roman" w:hAnsi="Times New Roman" w:eastAsia="黑体"/>
          <w:color w:val="auto"/>
          <w:kern w:val="0"/>
          <w:szCs w:val="20"/>
          <w:highlight w:val="none"/>
        </w:rPr>
        <w:t>规范性引用文件</w:t>
      </w:r>
      <w:bookmarkEnd w:id="26"/>
      <w:bookmarkEnd w:id="27"/>
      <w:bookmarkEnd w:id="28"/>
      <w:bookmarkEnd w:id="29"/>
      <w:bookmarkEnd w:id="30"/>
      <w:bookmarkEnd w:id="31"/>
      <w:bookmarkEnd w:id="32"/>
      <w:bookmarkEnd w:id="33"/>
    </w:p>
    <w:p>
      <w:pPr>
        <w:widowControl/>
        <w:adjustRightInd/>
        <w:spacing w:beforeLines="100" w:afterLines="100" w:line="360" w:lineRule="exact"/>
        <w:ind w:firstLine="420" w:firstLineChars="200"/>
        <w:rPr>
          <w:rFonts w:ascii="Times New Roman" w:hAnsi="Times New Roman"/>
          <w:color w:val="auto"/>
          <w:szCs w:val="24"/>
          <w:highlight w:val="none"/>
        </w:rPr>
      </w:pPr>
      <w:r>
        <w:rPr>
          <w:rFonts w:hint="eastAsia" w:ascii="Times New Roman" w:hAnsi="Times New Roman"/>
          <w:color w:val="auto"/>
          <w:szCs w:val="24"/>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p>
      <w:pPr>
        <w:widowControl/>
        <w:autoSpaceDE w:val="0"/>
        <w:autoSpaceDN w:val="0"/>
        <w:adjustRightInd/>
        <w:spacing w:line="360" w:lineRule="exact"/>
        <w:ind w:firstLine="420" w:firstLineChars="200"/>
        <w:rPr>
          <w:rFonts w:ascii="Times New Roman" w:hAnsi="Times New Roman"/>
          <w:color w:val="auto"/>
          <w:kern w:val="0"/>
          <w:szCs w:val="20"/>
          <w:highlight w:val="none"/>
        </w:rPr>
      </w:pPr>
      <w:r>
        <w:rPr>
          <w:rFonts w:ascii="Times New Roman" w:hAnsi="宋体"/>
          <w:color w:val="auto"/>
          <w:szCs w:val="24"/>
          <w:highlight w:val="none"/>
        </w:rPr>
        <w:t>GB/T 191</w:t>
      </w:r>
      <w:r>
        <w:rPr>
          <w:rFonts w:hint="eastAsia" w:ascii="Times New Roman" w:hAnsi="宋体"/>
          <w:color w:val="auto"/>
          <w:szCs w:val="24"/>
          <w:highlight w:val="none"/>
        </w:rPr>
        <w:t>—2008</w:t>
      </w:r>
      <w:r>
        <w:rPr>
          <w:rFonts w:ascii="Times New Roman" w:hAnsi="宋体"/>
          <w:color w:val="auto"/>
          <w:szCs w:val="24"/>
          <w:highlight w:val="none"/>
        </w:rPr>
        <w:t xml:space="preserve"> </w:t>
      </w:r>
      <w:r>
        <w:rPr>
          <w:rFonts w:hint="eastAsia" w:ascii="Times New Roman" w:hAnsi="宋体"/>
          <w:color w:val="auto"/>
          <w:szCs w:val="24"/>
          <w:highlight w:val="none"/>
        </w:rPr>
        <w:t xml:space="preserve"> 包装储运图示标志</w:t>
      </w:r>
    </w:p>
    <w:p>
      <w:pPr>
        <w:widowControl/>
        <w:autoSpaceDE w:val="0"/>
        <w:autoSpaceDN w:val="0"/>
        <w:adjustRightInd/>
        <w:spacing w:line="360" w:lineRule="exact"/>
        <w:ind w:firstLine="420" w:firstLineChars="200"/>
        <w:rPr>
          <w:rFonts w:ascii="Times New Roman" w:hAnsi="Times New Roman"/>
          <w:color w:val="auto"/>
          <w:kern w:val="0"/>
          <w:szCs w:val="20"/>
          <w:highlight w:val="none"/>
        </w:rPr>
      </w:pPr>
      <w:r>
        <w:rPr>
          <w:rFonts w:hint="eastAsia" w:ascii="Times New Roman" w:hAnsi="Times New Roman"/>
          <w:color w:val="auto"/>
          <w:kern w:val="0"/>
          <w:szCs w:val="20"/>
          <w:highlight w:val="none"/>
        </w:rPr>
        <w:t>G</w:t>
      </w:r>
      <w:r>
        <w:rPr>
          <w:rFonts w:ascii="Times New Roman" w:hAnsi="Times New Roman"/>
          <w:color w:val="auto"/>
          <w:kern w:val="0"/>
          <w:szCs w:val="20"/>
          <w:highlight w:val="none"/>
        </w:rPr>
        <w:t xml:space="preserve">B/T 5162 </w:t>
      </w:r>
      <w:r>
        <w:rPr>
          <w:rFonts w:hint="eastAsia" w:ascii="Times New Roman" w:hAnsi="Times New Roman"/>
          <w:color w:val="auto"/>
          <w:kern w:val="0"/>
          <w:szCs w:val="20"/>
          <w:highlight w:val="none"/>
        </w:rPr>
        <w:t xml:space="preserve"> 金属粉末  振实密度的测定</w:t>
      </w:r>
    </w:p>
    <w:p>
      <w:pPr>
        <w:widowControl/>
        <w:autoSpaceDE w:val="0"/>
        <w:autoSpaceDN w:val="0"/>
        <w:adjustRightInd/>
        <w:spacing w:line="360" w:lineRule="exact"/>
        <w:ind w:firstLine="420" w:firstLineChars="200"/>
        <w:rPr>
          <w:rFonts w:ascii="Times New Roman" w:hAnsi="Times New Roman"/>
          <w:color w:val="auto"/>
          <w:kern w:val="0"/>
          <w:szCs w:val="20"/>
          <w:highlight w:val="none"/>
        </w:rPr>
      </w:pPr>
      <w:r>
        <w:rPr>
          <w:rFonts w:hint="eastAsia" w:ascii="Times New Roman" w:hAnsi="Times New Roman"/>
          <w:color w:val="auto"/>
          <w:kern w:val="0"/>
          <w:szCs w:val="20"/>
          <w:highlight w:val="none"/>
        </w:rPr>
        <w:t>G</w:t>
      </w:r>
      <w:r>
        <w:rPr>
          <w:rFonts w:ascii="Times New Roman" w:hAnsi="Times New Roman"/>
          <w:color w:val="auto"/>
          <w:kern w:val="0"/>
          <w:szCs w:val="20"/>
          <w:highlight w:val="none"/>
        </w:rPr>
        <w:t xml:space="preserve">B/T 6283 </w:t>
      </w:r>
      <w:r>
        <w:rPr>
          <w:rFonts w:hint="eastAsia" w:ascii="Times New Roman" w:hAnsi="Times New Roman"/>
          <w:color w:val="auto"/>
          <w:kern w:val="0"/>
          <w:szCs w:val="20"/>
          <w:highlight w:val="none"/>
        </w:rPr>
        <w:t xml:space="preserve"> 化工产品中水分含量的测定  卡尔·费休法（通用方法）</w:t>
      </w:r>
    </w:p>
    <w:p>
      <w:pPr>
        <w:widowControl/>
        <w:autoSpaceDE w:val="0"/>
        <w:autoSpaceDN w:val="0"/>
        <w:adjustRightInd/>
        <w:spacing w:line="360" w:lineRule="exact"/>
        <w:ind w:firstLine="420" w:firstLineChars="200"/>
        <w:rPr>
          <w:rFonts w:ascii="Times New Roman" w:hAnsi="Times New Roman"/>
          <w:color w:val="auto"/>
          <w:kern w:val="0"/>
          <w:szCs w:val="20"/>
          <w:highlight w:val="none"/>
        </w:rPr>
      </w:pPr>
      <w:r>
        <w:rPr>
          <w:rFonts w:hint="eastAsia" w:ascii="Times New Roman" w:hAnsi="Times New Roman"/>
          <w:color w:val="auto"/>
          <w:kern w:val="0"/>
          <w:szCs w:val="20"/>
          <w:highlight w:val="none"/>
        </w:rPr>
        <w:t xml:space="preserve">GB/T 6678  </w:t>
      </w:r>
      <w:r>
        <w:rPr>
          <w:rFonts w:ascii="Times New Roman" w:hAnsi="Times New Roman"/>
          <w:color w:val="auto"/>
          <w:kern w:val="0"/>
          <w:szCs w:val="20"/>
          <w:highlight w:val="none"/>
        </w:rPr>
        <w:t>化工产品采样总则</w:t>
      </w:r>
    </w:p>
    <w:p>
      <w:pPr>
        <w:autoSpaceDE w:val="0"/>
        <w:autoSpaceDN w:val="0"/>
        <w:spacing w:line="360" w:lineRule="exact"/>
        <w:ind w:firstLine="420" w:firstLineChars="200"/>
        <w:jc w:val="left"/>
        <w:rPr>
          <w:rFonts w:ascii="Times New Roman" w:hAnsi="Times New Roman"/>
          <w:color w:val="auto"/>
          <w:kern w:val="0"/>
          <w:highlight w:val="none"/>
        </w:rPr>
      </w:pPr>
      <w:r>
        <w:rPr>
          <w:rFonts w:hint="eastAsia" w:ascii="Times New Roman" w:hAnsi="Times New Roman"/>
          <w:color w:val="auto"/>
          <w:kern w:val="0"/>
          <w:highlight w:val="none"/>
        </w:rPr>
        <w:t>GB/T 6682—2008  分析实验室用水规格和试验方法</w:t>
      </w:r>
    </w:p>
    <w:p>
      <w:pPr>
        <w:widowControl/>
        <w:autoSpaceDE w:val="0"/>
        <w:autoSpaceDN w:val="0"/>
        <w:adjustRightInd/>
        <w:spacing w:line="360" w:lineRule="exact"/>
        <w:ind w:firstLine="420" w:firstLineChars="200"/>
        <w:rPr>
          <w:rFonts w:ascii="Times New Roman" w:hAnsi="Times New Roman"/>
          <w:color w:val="auto"/>
          <w:kern w:val="0"/>
          <w:szCs w:val="20"/>
          <w:highlight w:val="none"/>
        </w:rPr>
      </w:pPr>
      <w:r>
        <w:rPr>
          <w:rFonts w:hint="eastAsia" w:ascii="Times New Roman" w:hAnsi="Times New Roman"/>
          <w:color w:val="auto"/>
          <w:kern w:val="0"/>
          <w:szCs w:val="20"/>
          <w:highlight w:val="none"/>
        </w:rPr>
        <w:t>G</w:t>
      </w:r>
      <w:r>
        <w:rPr>
          <w:rFonts w:ascii="Times New Roman" w:hAnsi="Times New Roman"/>
          <w:color w:val="auto"/>
          <w:kern w:val="0"/>
          <w:szCs w:val="20"/>
          <w:highlight w:val="none"/>
        </w:rPr>
        <w:t xml:space="preserve">B/T 8170 </w:t>
      </w:r>
      <w:r>
        <w:rPr>
          <w:rFonts w:hint="eastAsia" w:ascii="Times New Roman" w:hAnsi="Times New Roman"/>
          <w:color w:val="auto"/>
          <w:kern w:val="0"/>
          <w:szCs w:val="20"/>
          <w:highlight w:val="none"/>
        </w:rPr>
        <w:t xml:space="preserve"> 数值修约规则与极限数值的表示和判定</w:t>
      </w:r>
    </w:p>
    <w:p>
      <w:pPr>
        <w:widowControl/>
        <w:autoSpaceDE w:val="0"/>
        <w:autoSpaceDN w:val="0"/>
        <w:adjustRightInd/>
        <w:spacing w:line="360" w:lineRule="exact"/>
        <w:ind w:firstLine="420" w:firstLineChars="200"/>
        <w:rPr>
          <w:rFonts w:ascii="Times New Roman" w:hAnsi="Times New Roman"/>
          <w:color w:val="auto"/>
          <w:kern w:val="0"/>
          <w:szCs w:val="20"/>
          <w:highlight w:val="none"/>
        </w:rPr>
      </w:pPr>
      <w:r>
        <w:rPr>
          <w:rFonts w:ascii="Times New Roman" w:hAnsi="Times New Roman"/>
          <w:color w:val="auto"/>
          <w:kern w:val="0"/>
          <w:szCs w:val="20"/>
          <w:highlight w:val="none"/>
        </w:rPr>
        <w:t xml:space="preserve">GB/T 9724 </w:t>
      </w:r>
      <w:r>
        <w:rPr>
          <w:rFonts w:hint="eastAsia" w:ascii="Times New Roman" w:hAnsi="Times New Roman"/>
          <w:color w:val="auto"/>
          <w:kern w:val="0"/>
          <w:szCs w:val="20"/>
          <w:highlight w:val="none"/>
        </w:rPr>
        <w:t xml:space="preserve"> 化学试剂 </w:t>
      </w:r>
      <w:r>
        <w:rPr>
          <w:rFonts w:ascii="Times New Roman" w:hAnsi="Times New Roman"/>
          <w:color w:val="auto"/>
          <w:kern w:val="0"/>
          <w:szCs w:val="20"/>
          <w:highlight w:val="none"/>
        </w:rPr>
        <w:t>pH</w:t>
      </w:r>
      <w:r>
        <w:rPr>
          <w:rFonts w:hint="eastAsia" w:ascii="Times New Roman" w:hAnsi="Times New Roman"/>
          <w:color w:val="auto"/>
          <w:kern w:val="0"/>
          <w:szCs w:val="20"/>
          <w:highlight w:val="none"/>
        </w:rPr>
        <w:t>值测定通则</w:t>
      </w:r>
    </w:p>
    <w:p>
      <w:pPr>
        <w:widowControl/>
        <w:autoSpaceDE w:val="0"/>
        <w:autoSpaceDN w:val="0"/>
        <w:adjustRightInd/>
        <w:spacing w:line="360" w:lineRule="exact"/>
        <w:ind w:firstLine="420" w:firstLineChars="200"/>
        <w:rPr>
          <w:rFonts w:ascii="Times New Roman" w:hAnsi="Times New Roman"/>
          <w:color w:val="auto"/>
          <w:kern w:val="0"/>
          <w:szCs w:val="20"/>
          <w:highlight w:val="none"/>
        </w:rPr>
      </w:pPr>
      <w:r>
        <w:rPr>
          <w:rFonts w:hint="eastAsia" w:ascii="Times New Roman" w:hAnsi="Times New Roman"/>
          <w:color w:val="auto"/>
          <w:kern w:val="0"/>
          <w:szCs w:val="20"/>
          <w:highlight w:val="none"/>
        </w:rPr>
        <w:t>G</w:t>
      </w:r>
      <w:r>
        <w:rPr>
          <w:rFonts w:ascii="Times New Roman" w:hAnsi="Times New Roman"/>
          <w:color w:val="auto"/>
          <w:kern w:val="0"/>
          <w:szCs w:val="20"/>
          <w:highlight w:val="none"/>
        </w:rPr>
        <w:t xml:space="preserve">B/T 19077 </w:t>
      </w:r>
      <w:r>
        <w:rPr>
          <w:rFonts w:hint="eastAsia" w:ascii="Times New Roman" w:hAnsi="Times New Roman"/>
          <w:color w:val="auto"/>
          <w:kern w:val="0"/>
          <w:szCs w:val="20"/>
          <w:highlight w:val="none"/>
        </w:rPr>
        <w:t xml:space="preserve"> 粒度分析 激光衍射法 </w:t>
      </w:r>
    </w:p>
    <w:p>
      <w:pPr>
        <w:widowControl/>
        <w:autoSpaceDE w:val="0"/>
        <w:autoSpaceDN w:val="0"/>
        <w:adjustRightInd/>
        <w:spacing w:line="360" w:lineRule="exact"/>
        <w:ind w:firstLine="420" w:firstLineChars="200"/>
        <w:rPr>
          <w:rFonts w:ascii="Times New Roman" w:hAnsi="Times New Roman"/>
          <w:color w:val="auto"/>
          <w:kern w:val="0"/>
          <w:szCs w:val="20"/>
          <w:highlight w:val="none"/>
        </w:rPr>
      </w:pPr>
      <w:r>
        <w:rPr>
          <w:rFonts w:hint="eastAsia" w:ascii="Times New Roman" w:hAnsi="Times New Roman"/>
          <w:color w:val="auto"/>
          <w:kern w:val="0"/>
          <w:szCs w:val="20"/>
          <w:highlight w:val="none"/>
        </w:rPr>
        <w:t>G</w:t>
      </w:r>
      <w:r>
        <w:rPr>
          <w:rFonts w:ascii="Times New Roman" w:hAnsi="Times New Roman"/>
          <w:color w:val="auto"/>
          <w:kern w:val="0"/>
          <w:szCs w:val="20"/>
          <w:highlight w:val="none"/>
        </w:rPr>
        <w:t xml:space="preserve">B/T 19587 </w:t>
      </w:r>
      <w:r>
        <w:rPr>
          <w:rFonts w:hint="eastAsia" w:ascii="Times New Roman" w:hAnsi="Times New Roman"/>
          <w:color w:val="auto"/>
          <w:kern w:val="0"/>
          <w:szCs w:val="20"/>
          <w:highlight w:val="none"/>
        </w:rPr>
        <w:t xml:space="preserve"> 气体吸附B</w:t>
      </w:r>
      <w:r>
        <w:rPr>
          <w:rFonts w:ascii="Times New Roman" w:hAnsi="Times New Roman"/>
          <w:color w:val="auto"/>
          <w:kern w:val="0"/>
          <w:szCs w:val="20"/>
          <w:highlight w:val="none"/>
        </w:rPr>
        <w:t>ET</w:t>
      </w:r>
      <w:r>
        <w:rPr>
          <w:rFonts w:hint="eastAsia" w:ascii="Times New Roman" w:hAnsi="Times New Roman"/>
          <w:color w:val="auto"/>
          <w:kern w:val="0"/>
          <w:szCs w:val="20"/>
          <w:highlight w:val="none"/>
        </w:rPr>
        <w:t>法测定固态物质比表面积</w:t>
      </w:r>
    </w:p>
    <w:p>
      <w:pPr>
        <w:pStyle w:val="18"/>
        <w:spacing w:line="360" w:lineRule="exact"/>
        <w:ind w:firstLine="420" w:firstLineChars="200"/>
        <w:rPr>
          <w:rFonts w:hint="eastAsia" w:ascii="Times New Roman" w:hAnsi="Times New Roman"/>
          <w:color w:val="auto"/>
          <w:szCs w:val="28"/>
          <w:highlight w:val="none"/>
        </w:rPr>
      </w:pPr>
      <w:r>
        <w:rPr>
          <w:rFonts w:hint="eastAsia" w:ascii="Times New Roman" w:hAnsi="Times New Roman"/>
          <w:color w:val="auto"/>
          <w:szCs w:val="28"/>
          <w:highlight w:val="none"/>
        </w:rPr>
        <w:t xml:space="preserve">GB/T 41704—2022  锂离子电池正极材料检测方法 磁性异物含量和残余碱含量的测定  </w:t>
      </w:r>
    </w:p>
    <w:p>
      <w:pPr>
        <w:widowControl/>
        <w:tabs>
          <w:tab w:val="center" w:pos="4201"/>
          <w:tab w:val="right" w:leader="dot" w:pos="9298"/>
        </w:tabs>
        <w:autoSpaceDE w:val="0"/>
        <w:autoSpaceDN w:val="0"/>
        <w:spacing w:line="360" w:lineRule="exact"/>
        <w:ind w:firstLine="420" w:firstLineChars="200"/>
        <w:rPr>
          <w:rFonts w:ascii="Times New Roman" w:hAnsi="Times New Roman"/>
          <w:color w:val="auto"/>
          <w:szCs w:val="21"/>
          <w:highlight w:val="none"/>
        </w:rPr>
      </w:pPr>
      <w:r>
        <w:rPr>
          <w:rFonts w:hint="default" w:ascii="Times New Roman" w:hAnsi="Times New Roman"/>
          <w:color w:val="auto"/>
          <w:szCs w:val="21"/>
          <w:highlight w:val="none"/>
        </w:rPr>
        <w:t>HG/T 3696.1  无机化工产品  化学分析用标准溶液、制剂及制品的制备  第1部分：标准滴定溶液的制备</w:t>
      </w:r>
    </w:p>
    <w:p>
      <w:pPr>
        <w:autoSpaceDE w:val="0"/>
        <w:autoSpaceDN w:val="0"/>
        <w:spacing w:line="360" w:lineRule="exact"/>
        <w:ind w:firstLine="420" w:firstLineChars="200"/>
        <w:jc w:val="left"/>
        <w:rPr>
          <w:rFonts w:ascii="Times New Roman" w:hAnsi="Times New Roman"/>
          <w:color w:val="auto"/>
          <w:kern w:val="0"/>
          <w:highlight w:val="none"/>
        </w:rPr>
      </w:pPr>
      <w:r>
        <w:rPr>
          <w:rFonts w:hint="eastAsia" w:ascii="Times New Roman" w:hAnsi="Times New Roman"/>
          <w:color w:val="auto"/>
          <w:kern w:val="0"/>
          <w:highlight w:val="none"/>
        </w:rPr>
        <w:t>HG/T 3696.2  无机化工产品  化学分析用标准溶液、制剂及制品的制备  第2部分：杂质标准溶液的制备</w:t>
      </w:r>
    </w:p>
    <w:p>
      <w:pPr>
        <w:autoSpaceDE w:val="0"/>
        <w:autoSpaceDN w:val="0"/>
        <w:spacing w:line="360" w:lineRule="exact"/>
        <w:ind w:firstLine="420" w:firstLineChars="200"/>
        <w:jc w:val="left"/>
        <w:rPr>
          <w:rFonts w:ascii="Times New Roman" w:hAnsi="Times New Roman"/>
          <w:color w:val="auto"/>
          <w:kern w:val="0"/>
          <w:highlight w:val="none"/>
        </w:rPr>
      </w:pPr>
      <w:r>
        <w:rPr>
          <w:rFonts w:hint="eastAsia" w:ascii="Times New Roman" w:hAnsi="Times New Roman"/>
          <w:color w:val="auto"/>
          <w:kern w:val="0"/>
          <w:highlight w:val="none"/>
        </w:rPr>
        <w:t>HG/T 3696.3  无机化工产品  化学分析用标准溶液、制剂及制品的制备  第3部分：制剂及制品的制备</w:t>
      </w:r>
    </w:p>
    <w:p>
      <w:pPr>
        <w:widowControl/>
        <w:numPr>
          <w:ilvl w:val="1"/>
          <w:numId w:val="2"/>
        </w:numPr>
        <w:adjustRightInd/>
        <w:spacing w:beforeLines="100" w:afterLines="100" w:line="360" w:lineRule="exact"/>
        <w:outlineLvl w:val="0"/>
        <w:rPr>
          <w:rFonts w:ascii="Times New Roman" w:hAnsi="Times New Roman" w:eastAsia="黑体"/>
          <w:color w:val="auto"/>
          <w:kern w:val="0"/>
          <w:szCs w:val="20"/>
          <w:highlight w:val="none"/>
        </w:rPr>
      </w:pPr>
      <w:r>
        <w:rPr>
          <w:rFonts w:hint="eastAsia" w:ascii="Times New Roman" w:hAnsi="Times New Roman" w:eastAsia="黑体"/>
          <w:color w:val="auto"/>
          <w:kern w:val="0"/>
          <w:highlight w:val="none"/>
        </w:rPr>
        <w:t>术语和定义</w:t>
      </w:r>
    </w:p>
    <w:sdt>
      <w:sdtPr>
        <w:rPr>
          <w:rFonts w:ascii="Times New Roman" w:hAnsi="Times New Roman"/>
          <w:color w:val="auto"/>
          <w:kern w:val="0"/>
          <w:szCs w:val="20"/>
          <w:highlight w:val="none"/>
        </w:rPr>
        <w:id w:val="-1"/>
        <w:placeholder>
          <w:docPart w:val="89A741807765442689A600E45822F11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hAnsi="Times New Roman"/>
          <w:color w:val="auto"/>
          <w:kern w:val="0"/>
          <w:szCs w:val="20"/>
          <w:highlight w:val="none"/>
        </w:rPr>
      </w:sdtEndPr>
      <w:sdtContent>
        <w:p>
          <w:pPr>
            <w:widowControl/>
            <w:autoSpaceDE w:val="0"/>
            <w:autoSpaceDN w:val="0"/>
            <w:adjustRightInd/>
            <w:spacing w:line="360" w:lineRule="exact"/>
            <w:ind w:firstLine="420" w:firstLineChars="200"/>
            <w:rPr>
              <w:rFonts w:ascii="Times New Roman" w:hAnsi="Times New Roman"/>
              <w:color w:val="auto"/>
              <w:kern w:val="0"/>
              <w:szCs w:val="20"/>
              <w:highlight w:val="none"/>
            </w:rPr>
          </w:pPr>
          <w:bookmarkStart w:id="34" w:name="_Toc26986532"/>
          <w:bookmarkEnd w:id="34"/>
          <w:r>
            <w:rPr>
              <w:rFonts w:hint="eastAsia"/>
              <w:color w:val="auto"/>
              <w:highlight w:val="none"/>
            </w:rPr>
            <w:t>本文件没有需要界定的术语和定义</w:t>
          </w:r>
          <w:r>
            <w:rPr>
              <w:rFonts w:ascii="Times New Roman" w:hAnsi="Times New Roman"/>
              <w:color w:val="auto"/>
              <w:kern w:val="0"/>
              <w:szCs w:val="20"/>
              <w:highlight w:val="none"/>
            </w:rPr>
            <w:t>。</w:t>
          </w:r>
        </w:p>
      </w:sdtContent>
    </w:sdt>
    <w:p>
      <w:pPr>
        <w:widowControl/>
        <w:numPr>
          <w:ilvl w:val="1"/>
          <w:numId w:val="2"/>
        </w:numPr>
        <w:adjustRightInd/>
        <w:spacing w:beforeLines="100" w:afterLines="100" w:line="360" w:lineRule="exact"/>
        <w:outlineLvl w:val="0"/>
        <w:rPr>
          <w:rFonts w:ascii="Times New Roman" w:hAnsi="Times New Roman" w:eastAsia="黑体"/>
          <w:color w:val="auto"/>
          <w:kern w:val="0"/>
          <w:szCs w:val="20"/>
          <w:highlight w:val="none"/>
        </w:rPr>
      </w:pPr>
      <w:r>
        <w:rPr>
          <w:rFonts w:hint="eastAsia" w:ascii="Times New Roman" w:hAnsi="Times New Roman" w:eastAsia="黑体"/>
          <w:color w:val="auto"/>
          <w:kern w:val="0"/>
          <w:szCs w:val="20"/>
          <w:highlight w:val="none"/>
        </w:rPr>
        <w:t>分子式</w:t>
      </w:r>
    </w:p>
    <w:p>
      <w:pPr>
        <w:widowControl/>
        <w:adjustRightInd/>
        <w:spacing w:beforeLines="100" w:afterLines="100" w:line="360" w:lineRule="exact"/>
        <w:ind w:firstLine="420" w:firstLineChars="200"/>
        <w:rPr>
          <w:rFonts w:ascii="Times New Roman" w:hAnsi="Times New Roman"/>
          <w:color w:val="auto"/>
          <w:kern w:val="0"/>
          <w:szCs w:val="20"/>
          <w:highlight w:val="none"/>
        </w:rPr>
      </w:pPr>
      <w:r>
        <w:rPr>
          <w:rFonts w:ascii="Times New Roman" w:hAnsi="Times New Roman"/>
          <w:color w:val="auto"/>
          <w:kern w:val="0"/>
          <w:szCs w:val="20"/>
          <w:highlight w:val="none"/>
        </w:rPr>
        <w:t>NaC</w:t>
      </w:r>
      <w:r>
        <w:rPr>
          <w:rFonts w:hint="eastAsia" w:ascii="Times New Roman" w:hAnsi="Times New Roman"/>
          <w:color w:val="auto"/>
          <w:kern w:val="0"/>
          <w:szCs w:val="20"/>
          <w:highlight w:val="none"/>
        </w:rPr>
        <w:t>u</w:t>
      </w:r>
      <w:r>
        <w:rPr>
          <w:rFonts w:ascii="Times New Roman" w:hAnsi="Times New Roman"/>
          <w:color w:val="auto"/>
          <w:kern w:val="0"/>
          <w:szCs w:val="20"/>
          <w:highlight w:val="none"/>
          <w:vertAlign w:val="subscript"/>
        </w:rPr>
        <w:t>x</w:t>
      </w:r>
      <w:r>
        <w:rPr>
          <w:rFonts w:ascii="Times New Roman" w:hAnsi="Times New Roman"/>
          <w:color w:val="auto"/>
          <w:kern w:val="0"/>
          <w:szCs w:val="20"/>
          <w:highlight w:val="none"/>
        </w:rPr>
        <w:t>Mn</w:t>
      </w:r>
      <w:r>
        <w:rPr>
          <w:rFonts w:ascii="Times New Roman" w:hAnsi="Times New Roman"/>
          <w:color w:val="auto"/>
          <w:kern w:val="0"/>
          <w:szCs w:val="20"/>
          <w:highlight w:val="none"/>
          <w:vertAlign w:val="subscript"/>
        </w:rPr>
        <w:t>y</w:t>
      </w:r>
      <w:r>
        <w:rPr>
          <w:rFonts w:ascii="Times New Roman" w:hAnsi="Times New Roman"/>
          <w:color w:val="auto"/>
          <w:kern w:val="0"/>
          <w:szCs w:val="20"/>
          <w:highlight w:val="none"/>
        </w:rPr>
        <w:t>Fe</w:t>
      </w:r>
      <w:r>
        <w:rPr>
          <w:rFonts w:hint="eastAsia" w:ascii="Times New Roman" w:hAnsi="Times New Roman"/>
          <w:color w:val="auto"/>
          <w:kern w:val="0"/>
          <w:szCs w:val="20"/>
          <w:highlight w:val="none"/>
          <w:vertAlign w:val="subscript"/>
        </w:rPr>
        <w:t>（</w:t>
      </w:r>
      <w:r>
        <w:rPr>
          <w:rFonts w:ascii="Times New Roman" w:hAnsi="Times New Roman"/>
          <w:color w:val="auto"/>
          <w:kern w:val="0"/>
          <w:szCs w:val="20"/>
          <w:highlight w:val="none"/>
          <w:vertAlign w:val="subscript"/>
        </w:rPr>
        <w:t>1-x-y</w:t>
      </w:r>
      <w:r>
        <w:rPr>
          <w:rFonts w:hint="eastAsia" w:ascii="Times New Roman" w:hAnsi="Times New Roman"/>
          <w:color w:val="auto"/>
          <w:kern w:val="0"/>
          <w:szCs w:val="20"/>
          <w:highlight w:val="none"/>
          <w:vertAlign w:val="subscript"/>
        </w:rPr>
        <w:t>）</w:t>
      </w:r>
      <w:r>
        <w:rPr>
          <w:rFonts w:ascii="Times New Roman" w:hAnsi="Times New Roman"/>
          <w:color w:val="auto"/>
          <w:kern w:val="0"/>
          <w:szCs w:val="20"/>
          <w:highlight w:val="none"/>
        </w:rPr>
        <w:t>O</w:t>
      </w:r>
      <w:r>
        <w:rPr>
          <w:rFonts w:ascii="Times New Roman" w:hAnsi="Times New Roman"/>
          <w:color w:val="auto"/>
          <w:kern w:val="0"/>
          <w:szCs w:val="20"/>
          <w:highlight w:val="none"/>
          <w:vertAlign w:val="subscript"/>
        </w:rPr>
        <w:t>2</w:t>
      </w:r>
      <w:r>
        <w:rPr>
          <w:rFonts w:hint="eastAsia" w:ascii="Times New Roman" w:hAnsi="Times New Roman"/>
          <w:color w:val="auto"/>
          <w:kern w:val="0"/>
          <w:szCs w:val="20"/>
          <w:highlight w:val="none"/>
        </w:rPr>
        <w:t>（</w:t>
      </w:r>
      <w:r>
        <w:rPr>
          <w:rFonts w:hint="eastAsia" w:ascii="Times New Roman" w:hAnsi="Times New Roman"/>
          <w:color w:val="auto"/>
          <w:highlight w:val="none"/>
        </w:rPr>
        <w:t>x</w:t>
      </w:r>
      <w:r>
        <w:rPr>
          <w:rFonts w:hint="eastAsia"/>
          <w:color w:val="auto"/>
          <w:highlight w:val="none"/>
        </w:rPr>
        <w:t>：0</w:t>
      </w:r>
      <w:r>
        <w:rPr>
          <w:rFonts w:hint="eastAsia" w:ascii="宋体" w:hAnsi="宋体" w:cs="宋体"/>
          <w:color w:val="auto"/>
          <w:highlight w:val="none"/>
        </w:rPr>
        <w:t>～</w:t>
      </w:r>
      <w:r>
        <w:rPr>
          <w:color w:val="auto"/>
          <w:highlight w:val="none"/>
        </w:rPr>
        <w:t>0.2</w:t>
      </w:r>
      <w:r>
        <w:rPr>
          <w:rFonts w:hint="eastAsia"/>
          <w:color w:val="auto"/>
          <w:highlight w:val="none"/>
        </w:rPr>
        <w:t>，y：0</w:t>
      </w:r>
      <w:r>
        <w:rPr>
          <w:color w:val="auto"/>
          <w:highlight w:val="none"/>
        </w:rPr>
        <w:t>.3</w:t>
      </w:r>
      <w:r>
        <w:rPr>
          <w:rFonts w:hint="eastAsia" w:ascii="宋体" w:hAnsi="宋体" w:cs="宋体"/>
          <w:color w:val="auto"/>
          <w:highlight w:val="none"/>
        </w:rPr>
        <w:t>～</w:t>
      </w:r>
      <w:r>
        <w:rPr>
          <w:color w:val="auto"/>
          <w:highlight w:val="none"/>
        </w:rPr>
        <w:t>0.6</w:t>
      </w:r>
      <w:r>
        <w:rPr>
          <w:rFonts w:hint="eastAsia" w:ascii="Times New Roman" w:hAnsi="Times New Roman"/>
          <w:color w:val="auto"/>
          <w:kern w:val="0"/>
          <w:szCs w:val="20"/>
          <w:highlight w:val="none"/>
        </w:rPr>
        <w:t>）</w:t>
      </w:r>
    </w:p>
    <w:p>
      <w:pPr>
        <w:widowControl/>
        <w:numPr>
          <w:ilvl w:val="1"/>
          <w:numId w:val="2"/>
        </w:numPr>
        <w:adjustRightInd/>
        <w:spacing w:beforeLines="100" w:afterLines="100" w:line="360" w:lineRule="exact"/>
        <w:outlineLvl w:val="0"/>
        <w:rPr>
          <w:rFonts w:ascii="Times New Roman" w:hAnsi="Times New Roman" w:eastAsia="黑体"/>
          <w:color w:val="auto"/>
          <w:kern w:val="0"/>
          <w:szCs w:val="20"/>
          <w:highlight w:val="none"/>
        </w:rPr>
      </w:pPr>
      <w:r>
        <w:rPr>
          <w:rFonts w:hint="eastAsia" w:ascii="Times New Roman" w:hAnsi="Times New Roman" w:eastAsia="黑体"/>
          <w:color w:val="auto"/>
          <w:kern w:val="0"/>
          <w:szCs w:val="20"/>
          <w:highlight w:val="none"/>
        </w:rPr>
        <w:t>要求</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hint="eastAsia" w:ascii="Times New Roman" w:hAnsi="Times New Roman"/>
          <w:color w:val="auto"/>
          <w:kern w:val="0"/>
          <w:szCs w:val="20"/>
          <w:highlight w:val="none"/>
        </w:rPr>
        <w:t>外观：灰黑色或黑色粉末，颜色均一，无结块。</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hint="eastAsia" w:ascii="Times New Roman" w:hAnsi="Times New Roman"/>
          <w:color w:val="auto"/>
          <w:kern w:val="0"/>
          <w:szCs w:val="20"/>
          <w:highlight w:val="none"/>
        </w:rPr>
        <w:t>钠离子电池用铜铁锰酸钠按本文件规定的试验方法检测应符合表1和表2的规定。</w:t>
      </w:r>
    </w:p>
    <w:p>
      <w:pPr>
        <w:widowControl/>
        <w:tabs>
          <w:tab w:val="left" w:pos="0"/>
        </w:tabs>
        <w:adjustRightInd/>
        <w:spacing w:beforeLines="50" w:afterLines="50" w:line="240" w:lineRule="auto"/>
        <w:jc w:val="center"/>
        <w:rPr>
          <w:rFonts w:ascii="黑体" w:hAnsi="黑体" w:eastAsia="黑体"/>
          <w:color w:val="auto"/>
          <w:kern w:val="0"/>
          <w:szCs w:val="20"/>
          <w:highlight w:val="none"/>
        </w:rPr>
      </w:pPr>
      <w:bookmarkStart w:id="35" w:name="_Hlk143529049"/>
      <w:r>
        <w:rPr>
          <w:rFonts w:hint="eastAsia" w:ascii="黑体" w:hAnsi="黑体" w:eastAsia="黑体"/>
          <w:color w:val="auto"/>
          <w:kern w:val="0"/>
          <w:szCs w:val="20"/>
          <w:highlight w:val="none"/>
        </w:rPr>
        <w:t>表1</w:t>
      </w:r>
      <w:r>
        <w:rPr>
          <w:rFonts w:ascii="黑体" w:hAnsi="黑体" w:eastAsia="黑体"/>
          <w:color w:val="auto"/>
          <w:kern w:val="0"/>
          <w:szCs w:val="20"/>
          <w:highlight w:val="none"/>
        </w:rPr>
        <w:t xml:space="preserve"> </w:t>
      </w:r>
      <w:r>
        <w:rPr>
          <w:rFonts w:hint="eastAsia" w:ascii="黑体" w:hAnsi="黑体" w:eastAsia="黑体"/>
          <w:color w:val="auto"/>
          <w:kern w:val="0"/>
          <w:szCs w:val="20"/>
          <w:highlight w:val="none"/>
        </w:rPr>
        <w:t xml:space="preserve"> 理化指标</w:t>
      </w:r>
    </w:p>
    <w:bookmarkEnd w:id="35"/>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30"/>
        <w:gridCol w:w="3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0" w:type="dxa"/>
          </w:tcPr>
          <w:p>
            <w:pPr>
              <w:widowControl/>
              <w:autoSpaceDE w:val="0"/>
              <w:autoSpaceDN w:val="0"/>
              <w:adjustRightInd/>
              <w:spacing w:line="360" w:lineRule="exact"/>
              <w:jc w:val="center"/>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项目</w:t>
            </w:r>
          </w:p>
        </w:tc>
        <w:tc>
          <w:tcPr>
            <w:tcW w:w="3475" w:type="dxa"/>
          </w:tcPr>
          <w:p>
            <w:pPr>
              <w:widowControl/>
              <w:autoSpaceDE w:val="0"/>
              <w:autoSpaceDN w:val="0"/>
              <w:adjustRightInd/>
              <w:spacing w:line="360" w:lineRule="exact"/>
              <w:jc w:val="center"/>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0" w:type="dxa"/>
            <w:vAlign w:val="center"/>
          </w:tcPr>
          <w:p>
            <w:pPr>
              <w:widowControl/>
              <w:autoSpaceDE w:val="0"/>
              <w:autoSpaceDN w:val="0"/>
              <w:adjustRightInd/>
              <w:spacing w:line="360" w:lineRule="exact"/>
              <w:jc w:val="left"/>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钠（N</w:t>
            </w:r>
            <w:r>
              <w:rPr>
                <w:rFonts w:ascii="Times New Roman" w:hAnsi="Times New Roman"/>
                <w:color w:val="auto"/>
                <w:kern w:val="0"/>
                <w:sz w:val="18"/>
                <w:szCs w:val="18"/>
                <w:highlight w:val="none"/>
              </w:rPr>
              <w:t>a</w:t>
            </w:r>
            <w:r>
              <w:rPr>
                <w:rFonts w:hint="eastAsia" w:ascii="Times New Roman" w:hAnsi="Times New Roman"/>
                <w:color w:val="auto"/>
                <w:kern w:val="0"/>
                <w:sz w:val="18"/>
                <w:szCs w:val="18"/>
                <w:highlight w:val="none"/>
              </w:rPr>
              <w:t>，以干基计）</w:t>
            </w:r>
            <w:r>
              <w:rPr>
                <w:rFonts w:hint="eastAsia" w:ascii="Times New Roman" w:hAnsi="Times New Roman"/>
                <w:i/>
                <w:color w:val="auto"/>
                <w:sz w:val="18"/>
                <w:szCs w:val="18"/>
                <w:highlight w:val="none"/>
              </w:rPr>
              <w:t>w</w:t>
            </w:r>
            <w:r>
              <w:rPr>
                <w:rFonts w:hint="eastAsia" w:ascii="Times New Roman" w:hAnsi="Times New Roman"/>
                <w:iCs/>
                <w:color w:val="auto"/>
                <w:sz w:val="18"/>
                <w:szCs w:val="18"/>
                <w:highlight w:val="none"/>
              </w:rPr>
              <w:t>/</w:t>
            </w:r>
            <w:r>
              <w:rPr>
                <w:rFonts w:ascii="Times New Roman" w:hAnsi="Times New Roman"/>
                <w:color w:val="auto"/>
                <w:kern w:val="0"/>
                <w:sz w:val="18"/>
                <w:szCs w:val="18"/>
                <w:highlight w:val="none"/>
              </w:rPr>
              <w:t>%</w:t>
            </w:r>
          </w:p>
        </w:tc>
        <w:tc>
          <w:tcPr>
            <w:tcW w:w="3475" w:type="dxa"/>
            <w:vAlign w:val="center"/>
          </w:tcPr>
          <w:p>
            <w:pPr>
              <w:widowControl/>
              <w:autoSpaceDE w:val="0"/>
              <w:autoSpaceDN w:val="0"/>
              <w:spacing w:line="240" w:lineRule="auto"/>
              <w:jc w:val="center"/>
              <w:rPr>
                <w:rFonts w:ascii="Times New Roman" w:hAnsi="Times New Roman"/>
                <w:color w:val="auto"/>
                <w:kern w:val="0"/>
                <w:sz w:val="18"/>
                <w:szCs w:val="18"/>
                <w:highlight w:val="none"/>
              </w:rPr>
            </w:pPr>
            <w:r>
              <w:rPr>
                <w:rFonts w:ascii="Times New Roman" w:hAnsi="Times New Roman"/>
                <w:color w:val="auto"/>
                <w:kern w:val="0"/>
                <w:sz w:val="18"/>
                <w:szCs w:val="18"/>
                <w:highlight w:val="none"/>
              </w:rPr>
              <w:t>17.0</w:t>
            </w:r>
            <w:r>
              <w:rPr>
                <w:rFonts w:hint="eastAsia" w:ascii="Times New Roman" w:hAnsi="Times New Roman"/>
                <w:color w:val="auto"/>
                <w:kern w:val="0"/>
                <w:sz w:val="18"/>
                <w:szCs w:val="18"/>
                <w:highlight w:val="none"/>
              </w:rPr>
              <w:t>～</w:t>
            </w:r>
            <w:r>
              <w:rPr>
                <w:rFonts w:ascii="Times New Roman" w:hAnsi="Times New Roman"/>
                <w:color w:val="auto"/>
                <w:kern w:val="0"/>
                <w:sz w:val="18"/>
                <w:szCs w:val="18"/>
                <w:highlight w:val="none"/>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0" w:type="dxa"/>
            <w:vAlign w:val="center"/>
          </w:tcPr>
          <w:p>
            <w:pPr>
              <w:widowControl/>
              <w:autoSpaceDE w:val="0"/>
              <w:autoSpaceDN w:val="0"/>
              <w:adjustRightInd/>
              <w:spacing w:line="360" w:lineRule="exact"/>
              <w:jc w:val="left"/>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铜铁锰（</w:t>
            </w:r>
            <w:r>
              <w:rPr>
                <w:rFonts w:ascii="Times New Roman" w:hAnsi="Times New Roman"/>
                <w:color w:val="auto"/>
                <w:kern w:val="0"/>
                <w:sz w:val="18"/>
                <w:szCs w:val="18"/>
                <w:highlight w:val="none"/>
              </w:rPr>
              <w:t>Cu</w:t>
            </w:r>
            <w:r>
              <w:rPr>
                <w:rFonts w:hint="eastAsia" w:ascii="Times New Roman" w:hAnsi="Times New Roman"/>
                <w:color w:val="auto"/>
                <w:kern w:val="0"/>
                <w:sz w:val="18"/>
                <w:szCs w:val="18"/>
                <w:highlight w:val="none"/>
              </w:rPr>
              <w:t>+</w:t>
            </w:r>
            <w:r>
              <w:rPr>
                <w:rFonts w:ascii="Times New Roman" w:hAnsi="Times New Roman"/>
                <w:color w:val="auto"/>
                <w:kern w:val="0"/>
                <w:sz w:val="18"/>
                <w:szCs w:val="18"/>
                <w:highlight w:val="none"/>
              </w:rPr>
              <w:t>Fe+</w:t>
            </w:r>
            <w:r>
              <w:rPr>
                <w:rFonts w:hint="eastAsia" w:ascii="Times New Roman" w:hAnsi="Times New Roman"/>
                <w:color w:val="auto"/>
                <w:kern w:val="0"/>
                <w:sz w:val="18"/>
                <w:szCs w:val="18"/>
                <w:highlight w:val="none"/>
              </w:rPr>
              <w:t>M</w:t>
            </w:r>
            <w:r>
              <w:rPr>
                <w:rFonts w:ascii="Times New Roman" w:hAnsi="Times New Roman"/>
                <w:color w:val="auto"/>
                <w:kern w:val="0"/>
                <w:sz w:val="18"/>
                <w:szCs w:val="18"/>
                <w:highlight w:val="none"/>
              </w:rPr>
              <w:t>n</w:t>
            </w:r>
            <w:r>
              <w:rPr>
                <w:rFonts w:hint="eastAsia" w:ascii="Times New Roman" w:hAnsi="Times New Roman"/>
                <w:color w:val="auto"/>
                <w:kern w:val="0"/>
                <w:sz w:val="18"/>
                <w:szCs w:val="18"/>
                <w:highlight w:val="none"/>
              </w:rPr>
              <w:t>，以干基计）</w:t>
            </w:r>
            <w:r>
              <w:rPr>
                <w:rFonts w:hint="eastAsia" w:ascii="Times New Roman" w:hAnsi="Times New Roman"/>
                <w:color w:val="auto"/>
                <w:kern w:val="0"/>
                <w:sz w:val="18"/>
                <w:szCs w:val="18"/>
                <w:highlight w:val="none"/>
                <w:lang w:val="en-US" w:eastAsia="zh-CN"/>
              </w:rPr>
              <w:t>合</w:t>
            </w:r>
            <w:r>
              <w:rPr>
                <w:rFonts w:hint="eastAsia" w:ascii="Times New Roman" w:hAnsi="Times New Roman"/>
                <w:color w:val="auto"/>
                <w:kern w:val="0"/>
                <w:sz w:val="18"/>
                <w:szCs w:val="18"/>
                <w:highlight w:val="none"/>
              </w:rPr>
              <w:t>量</w:t>
            </w:r>
            <w:r>
              <w:rPr>
                <w:rFonts w:hint="eastAsia" w:ascii="Times New Roman" w:hAnsi="Times New Roman"/>
                <w:i/>
                <w:color w:val="auto"/>
                <w:sz w:val="18"/>
                <w:szCs w:val="18"/>
                <w:highlight w:val="none"/>
              </w:rPr>
              <w:t>w</w:t>
            </w:r>
            <w:r>
              <w:rPr>
                <w:rFonts w:hint="eastAsia" w:ascii="Times New Roman" w:hAnsi="Times New Roman"/>
                <w:iCs/>
                <w:color w:val="auto"/>
                <w:sz w:val="18"/>
                <w:szCs w:val="18"/>
                <w:highlight w:val="none"/>
              </w:rPr>
              <w:t>/</w:t>
            </w:r>
            <w:r>
              <w:rPr>
                <w:rFonts w:ascii="Times New Roman" w:hAnsi="Times New Roman"/>
                <w:color w:val="auto"/>
                <w:kern w:val="0"/>
                <w:sz w:val="18"/>
                <w:szCs w:val="18"/>
                <w:highlight w:val="none"/>
              </w:rPr>
              <w:t>%</w:t>
            </w:r>
          </w:p>
        </w:tc>
        <w:tc>
          <w:tcPr>
            <w:tcW w:w="3475" w:type="dxa"/>
            <w:vAlign w:val="center"/>
          </w:tcPr>
          <w:p>
            <w:pPr>
              <w:widowControl/>
              <w:autoSpaceDE w:val="0"/>
              <w:autoSpaceDN w:val="0"/>
              <w:spacing w:line="240" w:lineRule="auto"/>
              <w:jc w:val="center"/>
              <w:rPr>
                <w:rFonts w:hint="eastAsia" w:ascii="Times New Roman" w:hAnsi="Times New Roman" w:eastAsia="宋体"/>
                <w:color w:val="auto"/>
                <w:kern w:val="0"/>
                <w:sz w:val="18"/>
                <w:szCs w:val="18"/>
                <w:highlight w:val="none"/>
                <w:lang w:val="en-US" w:eastAsia="zh-CN"/>
              </w:rPr>
            </w:pPr>
            <w:r>
              <w:rPr>
                <w:rFonts w:hint="eastAsia" w:ascii="Times New Roman" w:hAnsi="Times New Roman"/>
                <w:color w:val="auto"/>
                <w:spacing w:val="-1"/>
                <w:sz w:val="18"/>
                <w:szCs w:val="18"/>
                <w:highlight w:val="none"/>
              </w:rPr>
              <w:t>42</w:t>
            </w:r>
            <w:r>
              <w:rPr>
                <w:rFonts w:ascii="Times New Roman" w:hAnsi="Times New Roman"/>
                <w:color w:val="auto"/>
                <w:spacing w:val="-1"/>
                <w:sz w:val="18"/>
                <w:szCs w:val="18"/>
                <w:highlight w:val="none"/>
              </w:rPr>
              <w:t>.0</w:t>
            </w:r>
            <w:r>
              <w:rPr>
                <w:rFonts w:hint="eastAsia" w:ascii="Times New Roman" w:hAnsi="Times New Roman"/>
                <w:color w:val="auto"/>
                <w:kern w:val="0"/>
                <w:sz w:val="18"/>
                <w:szCs w:val="18"/>
                <w:highlight w:val="none"/>
              </w:rPr>
              <w:t>～</w:t>
            </w:r>
            <w:r>
              <w:rPr>
                <w:rFonts w:hint="eastAsia" w:ascii="Times New Roman" w:hAnsi="Times New Roman"/>
                <w:color w:val="auto"/>
                <w:spacing w:val="-1"/>
                <w:sz w:val="18"/>
                <w:szCs w:val="18"/>
                <w:highlight w:val="none"/>
              </w:rPr>
              <w:t>53.</w:t>
            </w:r>
            <w:r>
              <w:rPr>
                <w:rFonts w:hint="eastAsia" w:ascii="Times New Roman" w:hAnsi="Times New Roman"/>
                <w:color w:val="auto"/>
                <w:spacing w:val="-1"/>
                <w:sz w:val="18"/>
                <w:szCs w:val="18"/>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0" w:type="dxa"/>
            <w:tcBorders>
              <w:right w:val="nil"/>
            </w:tcBorders>
            <w:vAlign w:val="center"/>
          </w:tcPr>
          <w:p>
            <w:pPr>
              <w:widowControl/>
              <w:autoSpaceDE w:val="0"/>
              <w:autoSpaceDN w:val="0"/>
              <w:adjustRightInd/>
              <w:spacing w:line="360" w:lineRule="exact"/>
              <w:jc w:val="left"/>
              <w:rPr>
                <w:rFonts w:ascii="Times New Roman" w:hAnsi="Times New Roman"/>
                <w:color w:val="auto"/>
                <w:kern w:val="0"/>
                <w:sz w:val="18"/>
                <w:szCs w:val="18"/>
                <w:highlight w:val="none"/>
              </w:rPr>
            </w:pPr>
            <w:r>
              <w:rPr>
                <w:rFonts w:ascii="Times New Roman" w:hAnsi="Times New Roman"/>
                <w:color w:val="auto"/>
                <w:kern w:val="0"/>
                <w:sz w:val="18"/>
                <w:szCs w:val="18"/>
                <w:highlight w:val="none"/>
              </w:rPr>
              <w:t>钙（Ca，以干基计）</w:t>
            </w:r>
            <w:r>
              <w:rPr>
                <w:rFonts w:ascii="Times New Roman" w:hAnsi="Times New Roman"/>
                <w:i/>
                <w:color w:val="auto"/>
                <w:sz w:val="18"/>
                <w:szCs w:val="18"/>
                <w:highlight w:val="none"/>
              </w:rPr>
              <w:t>w</w:t>
            </w:r>
            <w:r>
              <w:rPr>
                <w:rFonts w:ascii="Times New Roman" w:hAnsi="Times New Roman"/>
                <w:iCs/>
                <w:color w:val="auto"/>
                <w:sz w:val="18"/>
                <w:szCs w:val="18"/>
                <w:highlight w:val="none"/>
              </w:rPr>
              <w:t>/</w:t>
            </w:r>
            <w:r>
              <w:rPr>
                <w:rFonts w:ascii="Times New Roman" w:hAnsi="Times New Roman"/>
                <w:color w:val="auto"/>
                <w:kern w:val="0"/>
                <w:sz w:val="18"/>
                <w:szCs w:val="18"/>
                <w:highlight w:val="none"/>
              </w:rPr>
              <w:t xml:space="preserve">%  </w:t>
            </w:r>
          </w:p>
        </w:tc>
        <w:tc>
          <w:tcPr>
            <w:tcW w:w="3475" w:type="dxa"/>
            <w:shd w:val="clear" w:color="auto" w:fill="auto"/>
            <w:vAlign w:val="center"/>
          </w:tcPr>
          <w:p>
            <w:pPr>
              <w:widowControl/>
              <w:spacing w:line="240" w:lineRule="auto"/>
              <w:jc w:val="center"/>
              <w:textAlignment w:val="center"/>
              <w:rPr>
                <w:rFonts w:hint="eastAsia" w:ascii="Times New Roman" w:hAnsi="Times New Roman" w:eastAsia="宋体"/>
                <w:color w:val="auto"/>
                <w:kern w:val="0"/>
                <w:sz w:val="18"/>
                <w:szCs w:val="18"/>
                <w:highlight w:val="none"/>
                <w:lang w:eastAsia="zh-CN"/>
              </w:rPr>
            </w:pPr>
            <w:r>
              <w:rPr>
                <w:rFonts w:hint="eastAsia" w:ascii="宋体" w:hAnsi="宋体"/>
                <w:color w:val="auto"/>
                <w:kern w:val="0"/>
                <w:sz w:val="18"/>
                <w:szCs w:val="18"/>
                <w:highlight w:val="none"/>
                <w:lang w:val="en-US" w:eastAsia="zh-CN"/>
              </w:rPr>
              <w:t>协商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0" w:type="dxa"/>
            <w:tcBorders>
              <w:right w:val="nil"/>
            </w:tcBorders>
            <w:vAlign w:val="center"/>
          </w:tcPr>
          <w:p>
            <w:pPr>
              <w:widowControl/>
              <w:autoSpaceDE w:val="0"/>
              <w:autoSpaceDN w:val="0"/>
              <w:adjustRightInd/>
              <w:spacing w:line="360" w:lineRule="exact"/>
              <w:jc w:val="left"/>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镉（Cd，以干基计）</w:t>
            </w:r>
            <w:r>
              <w:rPr>
                <w:rFonts w:hint="eastAsia" w:ascii="Times New Roman" w:hAnsi="Times New Roman"/>
                <w:i/>
                <w:color w:val="auto"/>
                <w:sz w:val="18"/>
                <w:szCs w:val="18"/>
                <w:highlight w:val="none"/>
              </w:rPr>
              <w:t>w</w:t>
            </w:r>
            <w:r>
              <w:rPr>
                <w:rFonts w:hint="eastAsia" w:ascii="Times New Roman" w:hAnsi="Times New Roman"/>
                <w:iCs/>
                <w:color w:val="auto"/>
                <w:sz w:val="18"/>
                <w:szCs w:val="18"/>
                <w:highlight w:val="none"/>
              </w:rPr>
              <w:t>/</w:t>
            </w:r>
            <w:r>
              <w:rPr>
                <w:rFonts w:ascii="Times New Roman" w:hAnsi="Times New Roman"/>
                <w:color w:val="auto"/>
                <w:kern w:val="0"/>
                <w:sz w:val="18"/>
                <w:szCs w:val="18"/>
                <w:highlight w:val="none"/>
              </w:rPr>
              <w:t>%</w:t>
            </w:r>
            <w:r>
              <w:rPr>
                <w:rFonts w:hint="eastAsia" w:ascii="Times New Roman" w:hAnsi="Times New Roman"/>
                <w:color w:val="auto"/>
                <w:kern w:val="0"/>
                <w:sz w:val="18"/>
                <w:szCs w:val="18"/>
                <w:highlight w:val="none"/>
              </w:rPr>
              <w:t xml:space="preserve">                        </w:t>
            </w:r>
          </w:p>
        </w:tc>
        <w:tc>
          <w:tcPr>
            <w:tcW w:w="3475" w:type="dxa"/>
            <w:shd w:val="clear" w:color="auto" w:fill="auto"/>
            <w:vAlign w:val="center"/>
          </w:tcPr>
          <w:p>
            <w:pPr>
              <w:widowControl/>
              <w:spacing w:line="240" w:lineRule="auto"/>
              <w:jc w:val="center"/>
              <w:textAlignment w:val="center"/>
              <w:rPr>
                <w:rFonts w:ascii="Times New Roman" w:hAnsi="Times New Roman"/>
                <w:color w:val="auto"/>
                <w:kern w:val="0"/>
                <w:sz w:val="18"/>
                <w:szCs w:val="18"/>
                <w:highlight w:val="none"/>
              </w:rPr>
            </w:pPr>
            <w:r>
              <w:rPr>
                <w:rFonts w:hint="eastAsia" w:ascii="宋体" w:hAnsi="宋体" w:cs="宋体"/>
                <w:color w:val="auto"/>
                <w:kern w:val="0"/>
                <w:sz w:val="18"/>
                <w:szCs w:val="18"/>
                <w:highlight w:val="none"/>
              </w:rPr>
              <w:t>≤</w:t>
            </w:r>
            <w:r>
              <w:rPr>
                <w:rFonts w:ascii="Times New Roman" w:hAnsi="Times New Roman"/>
                <w:color w:val="auto"/>
                <w:kern w:val="0"/>
                <w:sz w:val="18"/>
                <w:szCs w:val="18"/>
                <w:highlight w:val="none"/>
              </w:rPr>
              <w:t>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5530" w:type="dxa"/>
            <w:tcBorders>
              <w:right w:val="nil"/>
            </w:tcBorders>
          </w:tcPr>
          <w:p>
            <w:pPr>
              <w:widowControl/>
              <w:autoSpaceDE w:val="0"/>
              <w:autoSpaceDN w:val="0"/>
              <w:adjustRightInd/>
              <w:spacing w:line="360" w:lineRule="exact"/>
              <w:jc w:val="left"/>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铬（Cr，以干基计）</w:t>
            </w:r>
            <w:r>
              <w:rPr>
                <w:rFonts w:hint="eastAsia" w:ascii="Times New Roman" w:hAnsi="Times New Roman"/>
                <w:i/>
                <w:color w:val="auto"/>
                <w:sz w:val="18"/>
                <w:szCs w:val="18"/>
                <w:highlight w:val="none"/>
              </w:rPr>
              <w:t>w</w:t>
            </w:r>
            <w:r>
              <w:rPr>
                <w:rFonts w:hint="eastAsia" w:ascii="Times New Roman" w:hAnsi="Times New Roman"/>
                <w:iCs/>
                <w:color w:val="auto"/>
                <w:sz w:val="18"/>
                <w:szCs w:val="18"/>
                <w:highlight w:val="none"/>
              </w:rPr>
              <w:t>/</w:t>
            </w:r>
            <w:r>
              <w:rPr>
                <w:rFonts w:ascii="Times New Roman" w:hAnsi="Times New Roman"/>
                <w:color w:val="auto"/>
                <w:kern w:val="0"/>
                <w:sz w:val="18"/>
                <w:szCs w:val="18"/>
                <w:highlight w:val="none"/>
              </w:rPr>
              <w:t>%</w:t>
            </w:r>
            <w:r>
              <w:rPr>
                <w:rFonts w:hint="eastAsia" w:ascii="Times New Roman" w:hAnsi="Times New Roman"/>
                <w:color w:val="auto"/>
                <w:kern w:val="0"/>
                <w:sz w:val="18"/>
                <w:szCs w:val="18"/>
                <w:highlight w:val="none"/>
              </w:rPr>
              <w:t xml:space="preserve"> </w:t>
            </w:r>
          </w:p>
        </w:tc>
        <w:tc>
          <w:tcPr>
            <w:tcW w:w="3475" w:type="dxa"/>
            <w:shd w:val="clear" w:color="auto" w:fill="auto"/>
            <w:vAlign w:val="center"/>
          </w:tcPr>
          <w:p>
            <w:pPr>
              <w:widowControl/>
              <w:spacing w:line="240" w:lineRule="auto"/>
              <w:jc w:val="center"/>
              <w:textAlignment w:val="center"/>
              <w:rPr>
                <w:rFonts w:ascii="Times New Roman" w:hAnsi="Times New Roman"/>
                <w:color w:val="auto"/>
                <w:kern w:val="0"/>
                <w:sz w:val="18"/>
                <w:szCs w:val="18"/>
                <w:highlight w:val="none"/>
              </w:rPr>
            </w:pPr>
            <w:r>
              <w:rPr>
                <w:rFonts w:hint="eastAsia" w:ascii="宋体" w:hAnsi="宋体" w:cs="宋体"/>
                <w:color w:val="auto"/>
                <w:kern w:val="0"/>
                <w:sz w:val="18"/>
                <w:szCs w:val="18"/>
                <w:highlight w:val="none"/>
              </w:rPr>
              <w:t>≤</w:t>
            </w:r>
            <w:r>
              <w:rPr>
                <w:rFonts w:ascii="Times New Roman" w:hAnsi="Times New Roman"/>
                <w:color w:val="auto"/>
                <w:kern w:val="0"/>
                <w:sz w:val="18"/>
                <w:szCs w:val="18"/>
                <w:highlight w:val="none"/>
              </w:rPr>
              <w:t>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5530" w:type="dxa"/>
            <w:tcBorders>
              <w:right w:val="nil"/>
            </w:tcBorders>
          </w:tcPr>
          <w:p>
            <w:pPr>
              <w:widowControl/>
              <w:autoSpaceDE w:val="0"/>
              <w:autoSpaceDN w:val="0"/>
              <w:adjustRightInd/>
              <w:spacing w:line="360" w:lineRule="exact"/>
              <w:jc w:val="left"/>
              <w:rPr>
                <w:rFonts w:ascii="Times New Roman" w:hAnsi="Times New Roman"/>
                <w:color w:val="auto"/>
                <w:kern w:val="0"/>
                <w:sz w:val="18"/>
                <w:szCs w:val="18"/>
                <w:highlight w:val="none"/>
              </w:rPr>
            </w:pPr>
            <w:r>
              <w:rPr>
                <w:rFonts w:ascii="Times New Roman" w:hAnsi="Times New Roman"/>
                <w:color w:val="auto"/>
                <w:kern w:val="0"/>
                <w:sz w:val="18"/>
                <w:szCs w:val="18"/>
                <w:highlight w:val="none"/>
              </w:rPr>
              <w:t>镁（Mg，以干基计）</w:t>
            </w:r>
            <w:r>
              <w:rPr>
                <w:rFonts w:ascii="Times New Roman" w:hAnsi="Times New Roman"/>
                <w:i/>
                <w:color w:val="auto"/>
                <w:sz w:val="18"/>
                <w:szCs w:val="18"/>
                <w:highlight w:val="none"/>
              </w:rPr>
              <w:t>w</w:t>
            </w:r>
            <w:r>
              <w:rPr>
                <w:rFonts w:ascii="Times New Roman" w:hAnsi="Times New Roman"/>
                <w:iCs/>
                <w:color w:val="auto"/>
                <w:sz w:val="18"/>
                <w:szCs w:val="18"/>
                <w:highlight w:val="none"/>
              </w:rPr>
              <w:t>/</w:t>
            </w:r>
            <w:r>
              <w:rPr>
                <w:rFonts w:ascii="Times New Roman" w:hAnsi="Times New Roman"/>
                <w:color w:val="auto"/>
                <w:kern w:val="0"/>
                <w:sz w:val="18"/>
                <w:szCs w:val="18"/>
                <w:highlight w:val="none"/>
              </w:rPr>
              <w:t>%</w:t>
            </w:r>
          </w:p>
        </w:tc>
        <w:tc>
          <w:tcPr>
            <w:tcW w:w="3475" w:type="dxa"/>
            <w:shd w:val="clear" w:color="auto" w:fill="auto"/>
            <w:vAlign w:val="center"/>
          </w:tcPr>
          <w:p>
            <w:pPr>
              <w:widowControl/>
              <w:spacing w:line="240" w:lineRule="auto"/>
              <w:jc w:val="center"/>
              <w:textAlignment w:val="center"/>
              <w:rPr>
                <w:rFonts w:hint="eastAsia" w:ascii="宋体" w:hAnsi="宋体" w:eastAsia="宋体" w:cs="宋体"/>
                <w:color w:val="auto"/>
                <w:kern w:val="0"/>
                <w:sz w:val="18"/>
                <w:szCs w:val="18"/>
                <w:highlight w:val="none"/>
                <w:lang w:eastAsia="zh-CN"/>
              </w:rPr>
            </w:pPr>
            <w:r>
              <w:rPr>
                <w:rFonts w:hint="eastAsia" w:ascii="宋体" w:hAnsi="宋体"/>
                <w:color w:val="auto"/>
                <w:kern w:val="0"/>
                <w:sz w:val="18"/>
                <w:szCs w:val="18"/>
                <w:highlight w:val="none"/>
                <w:lang w:val="en-US" w:eastAsia="zh-CN"/>
              </w:rPr>
              <w:t>协商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0" w:type="dxa"/>
            <w:tcBorders>
              <w:right w:val="nil"/>
            </w:tcBorders>
          </w:tcPr>
          <w:p>
            <w:pPr>
              <w:widowControl/>
              <w:autoSpaceDE w:val="0"/>
              <w:autoSpaceDN w:val="0"/>
              <w:adjustRightInd/>
              <w:spacing w:line="360" w:lineRule="exact"/>
              <w:jc w:val="left"/>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铅（Pb，以干基计）</w:t>
            </w:r>
            <w:r>
              <w:rPr>
                <w:rFonts w:hint="eastAsia" w:ascii="Times New Roman" w:hAnsi="Times New Roman"/>
                <w:i/>
                <w:color w:val="auto"/>
                <w:sz w:val="18"/>
                <w:szCs w:val="18"/>
                <w:highlight w:val="none"/>
              </w:rPr>
              <w:t>w</w:t>
            </w:r>
            <w:r>
              <w:rPr>
                <w:rFonts w:hint="eastAsia" w:ascii="Times New Roman" w:hAnsi="Times New Roman"/>
                <w:iCs/>
                <w:color w:val="auto"/>
                <w:sz w:val="18"/>
                <w:szCs w:val="18"/>
                <w:highlight w:val="none"/>
              </w:rPr>
              <w:t>/</w:t>
            </w:r>
            <w:r>
              <w:rPr>
                <w:rFonts w:ascii="Times New Roman" w:hAnsi="Times New Roman"/>
                <w:color w:val="auto"/>
                <w:kern w:val="0"/>
                <w:sz w:val="18"/>
                <w:szCs w:val="18"/>
                <w:highlight w:val="none"/>
              </w:rPr>
              <w:t>%</w:t>
            </w:r>
            <w:r>
              <w:rPr>
                <w:rFonts w:hint="eastAsia" w:ascii="Times New Roman" w:hAnsi="Times New Roman"/>
                <w:color w:val="auto"/>
                <w:kern w:val="0"/>
                <w:sz w:val="18"/>
                <w:szCs w:val="18"/>
                <w:highlight w:val="none"/>
              </w:rPr>
              <w:t xml:space="preserve"> </w:t>
            </w:r>
          </w:p>
        </w:tc>
        <w:tc>
          <w:tcPr>
            <w:tcW w:w="3475" w:type="dxa"/>
            <w:shd w:val="clear" w:color="auto" w:fill="auto"/>
            <w:vAlign w:val="center"/>
          </w:tcPr>
          <w:p>
            <w:pPr>
              <w:widowControl/>
              <w:spacing w:line="240" w:lineRule="auto"/>
              <w:jc w:val="center"/>
              <w:textAlignment w:val="center"/>
              <w:rPr>
                <w:rFonts w:ascii="Times New Roman" w:hAnsi="Times New Roman"/>
                <w:color w:val="auto"/>
                <w:kern w:val="0"/>
                <w:sz w:val="18"/>
                <w:szCs w:val="18"/>
                <w:highlight w:val="none"/>
              </w:rPr>
            </w:pPr>
            <w:r>
              <w:rPr>
                <w:rFonts w:hint="eastAsia" w:ascii="宋体" w:hAnsi="宋体" w:cs="宋体"/>
                <w:color w:val="auto"/>
                <w:kern w:val="0"/>
                <w:sz w:val="18"/>
                <w:szCs w:val="18"/>
                <w:highlight w:val="none"/>
              </w:rPr>
              <w:t>≤</w:t>
            </w:r>
            <w:r>
              <w:rPr>
                <w:rFonts w:ascii="Times New Roman" w:hAnsi="Times New Roman"/>
                <w:color w:val="auto"/>
                <w:kern w:val="0"/>
                <w:sz w:val="18"/>
                <w:szCs w:val="18"/>
                <w:highlight w:val="none"/>
              </w:rPr>
              <w:t>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0" w:type="dxa"/>
            <w:tcBorders>
              <w:right w:val="nil"/>
            </w:tcBorders>
          </w:tcPr>
          <w:p>
            <w:pPr>
              <w:widowControl/>
              <w:autoSpaceDE w:val="0"/>
              <w:autoSpaceDN w:val="0"/>
              <w:adjustRightInd/>
              <w:spacing w:line="360" w:lineRule="exact"/>
              <w:jc w:val="left"/>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硫（S，以干基计）</w:t>
            </w:r>
            <w:r>
              <w:rPr>
                <w:rFonts w:hint="eastAsia" w:ascii="Times New Roman" w:hAnsi="Times New Roman"/>
                <w:i/>
                <w:color w:val="auto"/>
                <w:sz w:val="18"/>
                <w:szCs w:val="18"/>
                <w:highlight w:val="none"/>
              </w:rPr>
              <w:t>w</w:t>
            </w:r>
            <w:r>
              <w:rPr>
                <w:rFonts w:hint="eastAsia" w:ascii="Times New Roman" w:hAnsi="Times New Roman"/>
                <w:iCs/>
                <w:color w:val="auto"/>
                <w:sz w:val="18"/>
                <w:szCs w:val="18"/>
                <w:highlight w:val="none"/>
              </w:rPr>
              <w:t>/</w:t>
            </w:r>
            <w:r>
              <w:rPr>
                <w:rFonts w:ascii="Times New Roman" w:hAnsi="Times New Roman"/>
                <w:color w:val="auto"/>
                <w:kern w:val="0"/>
                <w:sz w:val="18"/>
                <w:szCs w:val="18"/>
                <w:highlight w:val="none"/>
              </w:rPr>
              <w:t>%</w:t>
            </w:r>
          </w:p>
        </w:tc>
        <w:tc>
          <w:tcPr>
            <w:tcW w:w="3475" w:type="dxa"/>
            <w:shd w:val="clear" w:color="auto" w:fill="auto"/>
            <w:vAlign w:val="center"/>
          </w:tcPr>
          <w:p>
            <w:pPr>
              <w:widowControl/>
              <w:spacing w:line="240" w:lineRule="auto"/>
              <w:jc w:val="center"/>
              <w:textAlignment w:val="center"/>
              <w:rPr>
                <w:rFonts w:ascii="Times New Roman" w:hAnsi="Times New Roman"/>
                <w:color w:val="auto"/>
                <w:kern w:val="0"/>
                <w:sz w:val="18"/>
                <w:szCs w:val="18"/>
                <w:highlight w:val="none"/>
              </w:rPr>
            </w:pPr>
            <w:r>
              <w:rPr>
                <w:rFonts w:hint="eastAsia" w:ascii="宋体" w:hAnsi="宋体" w:cs="宋体"/>
                <w:color w:val="auto"/>
                <w:kern w:val="0"/>
                <w:sz w:val="18"/>
                <w:szCs w:val="18"/>
                <w:highlight w:val="none"/>
              </w:rPr>
              <w:t>≤</w:t>
            </w:r>
            <w:r>
              <w:rPr>
                <w:rFonts w:ascii="Times New Roman" w:hAnsi="Times New Roman"/>
                <w:color w:val="auto"/>
                <w:kern w:val="0"/>
                <w:sz w:val="18"/>
                <w:szCs w:val="18"/>
                <w:highlight w:val="none"/>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0" w:type="dxa"/>
            <w:tcBorders>
              <w:right w:val="nil"/>
            </w:tcBorders>
          </w:tcPr>
          <w:p>
            <w:pPr>
              <w:widowControl/>
              <w:autoSpaceDE w:val="0"/>
              <w:autoSpaceDN w:val="0"/>
              <w:adjustRightInd/>
              <w:spacing w:line="360" w:lineRule="exact"/>
              <w:jc w:val="left"/>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硅（Si，以干基计）</w:t>
            </w:r>
            <w:r>
              <w:rPr>
                <w:rFonts w:hint="eastAsia" w:ascii="Times New Roman" w:hAnsi="Times New Roman"/>
                <w:i/>
                <w:color w:val="auto"/>
                <w:sz w:val="18"/>
                <w:szCs w:val="18"/>
                <w:highlight w:val="none"/>
              </w:rPr>
              <w:t>w</w:t>
            </w:r>
            <w:r>
              <w:rPr>
                <w:rFonts w:hint="eastAsia" w:ascii="Times New Roman" w:hAnsi="Times New Roman"/>
                <w:iCs/>
                <w:color w:val="auto"/>
                <w:sz w:val="18"/>
                <w:szCs w:val="18"/>
                <w:highlight w:val="none"/>
              </w:rPr>
              <w:t>/</w:t>
            </w:r>
            <w:r>
              <w:rPr>
                <w:rFonts w:ascii="Times New Roman" w:hAnsi="Times New Roman"/>
                <w:color w:val="auto"/>
                <w:kern w:val="0"/>
                <w:sz w:val="18"/>
                <w:szCs w:val="18"/>
                <w:highlight w:val="none"/>
              </w:rPr>
              <w:t>%</w:t>
            </w:r>
            <w:r>
              <w:rPr>
                <w:rFonts w:hint="eastAsia" w:ascii="Times New Roman" w:hAnsi="Times New Roman"/>
                <w:color w:val="auto"/>
                <w:kern w:val="0"/>
                <w:sz w:val="18"/>
                <w:szCs w:val="18"/>
                <w:highlight w:val="none"/>
              </w:rPr>
              <w:t xml:space="preserve"> </w:t>
            </w:r>
          </w:p>
        </w:tc>
        <w:tc>
          <w:tcPr>
            <w:tcW w:w="3475" w:type="dxa"/>
            <w:shd w:val="clear" w:color="auto" w:fill="auto"/>
            <w:vAlign w:val="center"/>
          </w:tcPr>
          <w:p>
            <w:pPr>
              <w:widowControl/>
              <w:spacing w:line="240" w:lineRule="auto"/>
              <w:jc w:val="center"/>
              <w:textAlignment w:val="center"/>
              <w:rPr>
                <w:rFonts w:ascii="Times New Roman" w:hAnsi="Times New Roman"/>
                <w:color w:val="auto"/>
                <w:kern w:val="0"/>
                <w:sz w:val="18"/>
                <w:szCs w:val="18"/>
                <w:highlight w:val="none"/>
              </w:rPr>
            </w:pPr>
            <w:r>
              <w:rPr>
                <w:rFonts w:hint="eastAsia" w:ascii="宋体" w:hAnsi="宋体" w:cs="宋体"/>
                <w:color w:val="auto"/>
                <w:kern w:val="0"/>
                <w:sz w:val="18"/>
                <w:szCs w:val="18"/>
                <w:highlight w:val="none"/>
              </w:rPr>
              <w:t>≤</w:t>
            </w:r>
            <w:r>
              <w:rPr>
                <w:rFonts w:ascii="Times New Roman" w:hAnsi="Times New Roman"/>
                <w:color w:val="auto"/>
                <w:kern w:val="0"/>
                <w:sz w:val="18"/>
                <w:szCs w:val="18"/>
                <w:highlight w:val="none"/>
              </w:rPr>
              <w:t>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0" w:type="dxa"/>
            <w:tcBorders>
              <w:right w:val="nil"/>
            </w:tcBorders>
          </w:tcPr>
          <w:p>
            <w:pPr>
              <w:widowControl/>
              <w:autoSpaceDE w:val="0"/>
              <w:autoSpaceDN w:val="0"/>
              <w:adjustRightInd/>
              <w:spacing w:line="360" w:lineRule="exact"/>
              <w:jc w:val="left"/>
              <w:rPr>
                <w:rFonts w:ascii="Times New Roman" w:hAnsi="Times New Roman"/>
                <w:color w:val="auto"/>
                <w:kern w:val="0"/>
                <w:sz w:val="18"/>
                <w:szCs w:val="18"/>
                <w:highlight w:val="none"/>
              </w:rPr>
            </w:pPr>
            <w:r>
              <w:rPr>
                <w:rFonts w:ascii="Times New Roman" w:hAnsi="Times New Roman"/>
                <w:color w:val="auto"/>
                <w:kern w:val="0"/>
                <w:sz w:val="18"/>
                <w:szCs w:val="18"/>
                <w:highlight w:val="none"/>
              </w:rPr>
              <w:t>锌（Zn，以干基计）</w:t>
            </w:r>
            <w:r>
              <w:rPr>
                <w:rFonts w:ascii="Times New Roman" w:hAnsi="Times New Roman"/>
                <w:i/>
                <w:color w:val="auto"/>
                <w:sz w:val="18"/>
                <w:szCs w:val="18"/>
                <w:highlight w:val="none"/>
              </w:rPr>
              <w:t>w</w:t>
            </w:r>
            <w:r>
              <w:rPr>
                <w:rFonts w:ascii="Times New Roman" w:hAnsi="Times New Roman"/>
                <w:iCs/>
                <w:color w:val="auto"/>
                <w:sz w:val="18"/>
                <w:szCs w:val="18"/>
                <w:highlight w:val="none"/>
              </w:rPr>
              <w:t>/</w:t>
            </w:r>
            <w:r>
              <w:rPr>
                <w:rFonts w:ascii="Times New Roman" w:hAnsi="Times New Roman"/>
                <w:color w:val="auto"/>
                <w:kern w:val="0"/>
                <w:sz w:val="18"/>
                <w:szCs w:val="18"/>
                <w:highlight w:val="none"/>
              </w:rPr>
              <w:t>%</w:t>
            </w:r>
          </w:p>
        </w:tc>
        <w:tc>
          <w:tcPr>
            <w:tcW w:w="3475" w:type="dxa"/>
            <w:shd w:val="clear" w:color="auto" w:fill="auto"/>
            <w:vAlign w:val="center"/>
          </w:tcPr>
          <w:p>
            <w:pPr>
              <w:widowControl/>
              <w:spacing w:line="240" w:lineRule="auto"/>
              <w:jc w:val="center"/>
              <w:textAlignment w:val="center"/>
              <w:rPr>
                <w:rFonts w:hint="eastAsia" w:ascii="宋体" w:hAnsi="宋体" w:eastAsia="宋体" w:cs="宋体"/>
                <w:color w:val="auto"/>
                <w:kern w:val="0"/>
                <w:sz w:val="18"/>
                <w:szCs w:val="18"/>
                <w:highlight w:val="none"/>
                <w:lang w:eastAsia="zh-CN"/>
              </w:rPr>
            </w:pPr>
            <w:r>
              <w:rPr>
                <w:rFonts w:hint="eastAsia" w:ascii="宋体" w:hAnsi="宋体"/>
                <w:color w:val="auto"/>
                <w:kern w:val="0"/>
                <w:sz w:val="18"/>
                <w:szCs w:val="18"/>
                <w:highlight w:val="none"/>
                <w:lang w:val="en-US" w:eastAsia="zh-CN"/>
              </w:rPr>
              <w:t>协商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0" w:type="dxa"/>
            <w:tcBorders>
              <w:right w:val="nil"/>
            </w:tcBorders>
          </w:tcPr>
          <w:p>
            <w:pPr>
              <w:widowControl/>
              <w:autoSpaceDE w:val="0"/>
              <w:autoSpaceDN w:val="0"/>
              <w:adjustRightInd/>
              <w:spacing w:line="360" w:lineRule="exact"/>
              <w:jc w:val="left"/>
              <w:rPr>
                <w:rFonts w:ascii="Times New Roman" w:hAnsi="Times New Roman"/>
                <w:color w:val="auto"/>
                <w:kern w:val="0"/>
                <w:sz w:val="18"/>
                <w:szCs w:val="18"/>
                <w:highlight w:val="none"/>
              </w:rPr>
            </w:pPr>
            <w:r>
              <w:rPr>
                <w:rFonts w:ascii="Times New Roman" w:hAnsi="Times New Roman"/>
                <w:color w:val="auto"/>
                <w:sz w:val="18"/>
                <w:szCs w:val="18"/>
                <w:highlight w:val="none"/>
              </w:rPr>
              <w:t>残余钠（Na）</w:t>
            </w:r>
            <w:r>
              <w:rPr>
                <w:rFonts w:hint="eastAsia" w:ascii="Times New Roman" w:hAnsi="Times New Roman"/>
                <w:i/>
                <w:color w:val="auto"/>
                <w:sz w:val="18"/>
                <w:szCs w:val="18"/>
                <w:highlight w:val="none"/>
              </w:rPr>
              <w:t>w</w:t>
            </w:r>
            <w:r>
              <w:rPr>
                <w:rFonts w:hint="eastAsia" w:ascii="Times New Roman" w:hAnsi="Times New Roman"/>
                <w:iCs/>
                <w:color w:val="auto"/>
                <w:sz w:val="18"/>
                <w:szCs w:val="18"/>
                <w:highlight w:val="none"/>
              </w:rPr>
              <w:t>/</w:t>
            </w:r>
            <w:r>
              <w:rPr>
                <w:rFonts w:ascii="Times New Roman" w:hAnsi="Times New Roman"/>
                <w:color w:val="auto"/>
                <w:kern w:val="0"/>
                <w:sz w:val="18"/>
                <w:szCs w:val="18"/>
                <w:highlight w:val="none"/>
              </w:rPr>
              <w:t>%</w:t>
            </w:r>
          </w:p>
        </w:tc>
        <w:tc>
          <w:tcPr>
            <w:tcW w:w="3475" w:type="dxa"/>
            <w:shd w:val="clear" w:color="auto" w:fill="auto"/>
            <w:vAlign w:val="center"/>
          </w:tcPr>
          <w:p>
            <w:pPr>
              <w:widowControl/>
              <w:spacing w:line="240" w:lineRule="auto"/>
              <w:jc w:val="center"/>
              <w:textAlignment w:val="center"/>
              <w:rPr>
                <w:rFonts w:ascii="Times New Roman" w:hAnsi="Times New Roman"/>
                <w:color w:val="auto"/>
                <w:kern w:val="0"/>
                <w:sz w:val="18"/>
                <w:szCs w:val="18"/>
                <w:highlight w:val="none"/>
              </w:rPr>
            </w:pPr>
            <w:r>
              <w:rPr>
                <w:rFonts w:hint="eastAsia" w:ascii="宋体" w:hAnsi="宋体" w:cs="宋体"/>
                <w:color w:val="auto"/>
                <w:kern w:val="0"/>
                <w:sz w:val="18"/>
                <w:szCs w:val="18"/>
                <w:highlight w:val="none"/>
              </w:rPr>
              <w:t>≤</w:t>
            </w:r>
            <w:r>
              <w:rPr>
                <w:rFonts w:hint="eastAsia" w:ascii="Times New Roman" w:hAnsi="Times New Roman"/>
                <w:color w:val="auto"/>
                <w:kern w:val="0"/>
                <w:sz w:val="18"/>
                <w:szCs w:val="18"/>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0" w:type="dxa"/>
            <w:tcBorders>
              <w:right w:val="nil"/>
            </w:tcBorders>
          </w:tcPr>
          <w:p>
            <w:pPr>
              <w:widowControl/>
              <w:autoSpaceDE w:val="0"/>
              <w:autoSpaceDN w:val="0"/>
              <w:adjustRightInd/>
              <w:spacing w:line="360" w:lineRule="exact"/>
              <w:jc w:val="left"/>
              <w:rPr>
                <w:rFonts w:ascii="Times New Roman" w:hAnsi="Times New Roman"/>
                <w:color w:val="auto"/>
                <w:sz w:val="18"/>
                <w:szCs w:val="18"/>
                <w:highlight w:val="none"/>
              </w:rPr>
            </w:pPr>
            <w:r>
              <w:rPr>
                <w:rFonts w:ascii="Times New Roman" w:hAnsi="Times New Roman"/>
                <w:color w:val="auto"/>
                <w:sz w:val="18"/>
                <w:szCs w:val="18"/>
                <w:highlight w:val="none"/>
              </w:rPr>
              <w:t>磁性异物</w:t>
            </w:r>
            <w:r>
              <w:rPr>
                <w:rFonts w:hint="eastAsia" w:ascii="Times New Roman" w:hAnsi="Times New Roman"/>
                <w:i/>
                <w:color w:val="auto"/>
                <w:sz w:val="18"/>
                <w:szCs w:val="18"/>
                <w:highlight w:val="none"/>
              </w:rPr>
              <w:t>w</w:t>
            </w:r>
            <w:r>
              <w:rPr>
                <w:rFonts w:hint="eastAsia" w:ascii="Times New Roman" w:hAnsi="Times New Roman"/>
                <w:iCs/>
                <w:color w:val="auto"/>
                <w:sz w:val="18"/>
                <w:szCs w:val="18"/>
                <w:highlight w:val="none"/>
              </w:rPr>
              <w:t>/</w:t>
            </w:r>
            <w:r>
              <w:rPr>
                <w:rFonts w:ascii="Times New Roman" w:hAnsi="Times New Roman"/>
                <w:color w:val="auto"/>
                <w:kern w:val="0"/>
                <w:sz w:val="18"/>
                <w:szCs w:val="18"/>
                <w:highlight w:val="none"/>
              </w:rPr>
              <w:t>%</w:t>
            </w:r>
          </w:p>
        </w:tc>
        <w:tc>
          <w:tcPr>
            <w:tcW w:w="3475" w:type="dxa"/>
            <w:shd w:val="clear" w:color="auto" w:fill="auto"/>
            <w:vAlign w:val="center"/>
          </w:tcPr>
          <w:p>
            <w:pPr>
              <w:widowControl/>
              <w:spacing w:line="240" w:lineRule="auto"/>
              <w:jc w:val="center"/>
              <w:textAlignment w:val="center"/>
              <w:rPr>
                <w:rFonts w:ascii="Times New Roman" w:hAnsi="Times New Roman"/>
                <w:color w:val="auto"/>
                <w:kern w:val="0"/>
                <w:sz w:val="18"/>
                <w:szCs w:val="18"/>
                <w:highlight w:val="none"/>
              </w:rPr>
            </w:pPr>
            <w:r>
              <w:rPr>
                <w:rFonts w:hint="eastAsia" w:ascii="宋体" w:hAnsi="宋体" w:cs="宋体"/>
                <w:color w:val="auto"/>
                <w:kern w:val="0"/>
                <w:sz w:val="18"/>
                <w:szCs w:val="18"/>
                <w:highlight w:val="none"/>
              </w:rPr>
              <w:t>≤</w:t>
            </w:r>
            <w:r>
              <w:rPr>
                <w:rFonts w:hint="eastAsia" w:ascii="Times New Roman" w:hAnsi="Times New Roman"/>
                <w:color w:val="auto"/>
                <w:kern w:val="0"/>
                <w:sz w:val="18"/>
                <w:szCs w:val="18"/>
                <w:highlight w:val="none"/>
              </w:rPr>
              <w:t>0.0003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0" w:type="dxa"/>
            <w:tcBorders>
              <w:right w:val="nil"/>
            </w:tcBorders>
            <w:shd w:val="clear" w:color="auto" w:fill="auto"/>
            <w:vAlign w:val="center"/>
          </w:tcPr>
          <w:p>
            <w:pPr>
              <w:widowControl/>
              <w:autoSpaceDE w:val="0"/>
              <w:autoSpaceDN w:val="0"/>
              <w:adjustRightInd/>
              <w:spacing w:line="360" w:lineRule="exact"/>
              <w:jc w:val="left"/>
              <w:rPr>
                <w:rFonts w:ascii="Times New Roman" w:hAnsi="Times New Roman"/>
                <w:color w:val="auto"/>
                <w:kern w:val="0"/>
                <w:sz w:val="18"/>
                <w:szCs w:val="18"/>
                <w:highlight w:val="none"/>
              </w:rPr>
            </w:pPr>
            <w:r>
              <w:rPr>
                <w:rFonts w:ascii="Times New Roman" w:hAnsi="Times New Roman"/>
                <w:color w:val="auto"/>
                <w:kern w:val="0"/>
                <w:sz w:val="18"/>
                <w:szCs w:val="18"/>
                <w:highlight w:val="none"/>
              </w:rPr>
              <w:t>水分</w:t>
            </w:r>
            <w:r>
              <w:rPr>
                <w:rFonts w:hint="eastAsia" w:ascii="Times New Roman" w:hAnsi="Times New Roman"/>
                <w:i/>
                <w:color w:val="auto"/>
                <w:sz w:val="18"/>
                <w:szCs w:val="18"/>
                <w:highlight w:val="none"/>
              </w:rPr>
              <w:t>w</w:t>
            </w:r>
            <w:r>
              <w:rPr>
                <w:rFonts w:hint="eastAsia" w:ascii="Times New Roman" w:hAnsi="Times New Roman"/>
                <w:iCs/>
                <w:color w:val="auto"/>
                <w:sz w:val="18"/>
                <w:szCs w:val="18"/>
                <w:highlight w:val="none"/>
              </w:rPr>
              <w:t>/</w:t>
            </w:r>
            <w:r>
              <w:rPr>
                <w:rFonts w:ascii="Times New Roman" w:hAnsi="Times New Roman"/>
                <w:color w:val="auto"/>
                <w:kern w:val="0"/>
                <w:sz w:val="18"/>
                <w:szCs w:val="18"/>
                <w:highlight w:val="none"/>
              </w:rPr>
              <w:t>%</w:t>
            </w:r>
          </w:p>
        </w:tc>
        <w:tc>
          <w:tcPr>
            <w:tcW w:w="3475" w:type="dxa"/>
            <w:shd w:val="clear" w:color="auto" w:fill="auto"/>
            <w:vAlign w:val="center"/>
          </w:tcPr>
          <w:p>
            <w:pPr>
              <w:widowControl/>
              <w:autoSpaceDE w:val="0"/>
              <w:autoSpaceDN w:val="0"/>
              <w:adjustRightInd/>
              <w:spacing w:line="360" w:lineRule="exact"/>
              <w:jc w:val="center"/>
              <w:rPr>
                <w:rFonts w:ascii="Times New Roman" w:hAnsi="Times New Roman"/>
                <w:color w:val="auto"/>
                <w:kern w:val="0"/>
                <w:sz w:val="18"/>
                <w:szCs w:val="18"/>
                <w:highlight w:val="none"/>
              </w:rPr>
            </w:pPr>
            <w:r>
              <w:rPr>
                <w:rFonts w:hint="eastAsia" w:ascii="宋体" w:hAnsi="宋体" w:cs="宋体"/>
                <w:color w:val="auto"/>
                <w:kern w:val="0"/>
                <w:sz w:val="18"/>
                <w:szCs w:val="18"/>
                <w:highlight w:val="none"/>
              </w:rPr>
              <w:t>≤</w:t>
            </w:r>
            <w:r>
              <w:rPr>
                <w:rFonts w:hint="eastAsia" w:ascii="Times New Roman" w:hAnsi="Times New Roman"/>
                <w:color w:val="auto"/>
                <w:sz w:val="18"/>
                <w:szCs w:val="18"/>
                <w:highlight w:val="none"/>
              </w:rPr>
              <w:t>0</w:t>
            </w:r>
            <w:r>
              <w:rPr>
                <w:rFonts w:ascii="Times New Roman" w:hAnsi="Times New Roman"/>
                <w:color w:val="auto"/>
                <w:sz w:val="18"/>
                <w:szCs w:val="18"/>
                <w:highlight w:val="none"/>
              </w:rPr>
              <w:t>.</w:t>
            </w:r>
            <w:r>
              <w:rPr>
                <w:rFonts w:hint="eastAsia" w:ascii="Times New Roman" w:hAnsi="Times New Roman"/>
                <w:color w:val="auto"/>
                <w:kern w:val="0"/>
                <w:sz w:val="18"/>
                <w:szCs w:val="18"/>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0" w:type="dxa"/>
            <w:tcBorders>
              <w:right w:val="nil"/>
            </w:tcBorders>
            <w:shd w:val="clear" w:color="auto" w:fill="auto"/>
            <w:vAlign w:val="center"/>
          </w:tcPr>
          <w:p>
            <w:pPr>
              <w:widowControl/>
              <w:autoSpaceDE w:val="0"/>
              <w:autoSpaceDN w:val="0"/>
              <w:adjustRightInd/>
              <w:spacing w:line="360" w:lineRule="exact"/>
              <w:jc w:val="left"/>
              <w:rPr>
                <w:rFonts w:ascii="Times New Roman" w:hAnsi="Times New Roman"/>
                <w:color w:val="auto"/>
                <w:kern w:val="0"/>
                <w:sz w:val="18"/>
                <w:szCs w:val="18"/>
                <w:highlight w:val="none"/>
              </w:rPr>
            </w:pPr>
            <w:r>
              <w:rPr>
                <w:rFonts w:ascii="Times New Roman" w:hAnsi="Times New Roman"/>
                <w:color w:val="auto"/>
                <w:kern w:val="0"/>
                <w:sz w:val="18"/>
                <w:szCs w:val="18"/>
                <w:highlight w:val="none"/>
              </w:rPr>
              <w:t>pH</w:t>
            </w:r>
            <w:r>
              <w:rPr>
                <w:rFonts w:hint="eastAsia" w:ascii="Times New Roman" w:hAnsi="Times New Roman"/>
                <w:color w:val="auto"/>
                <w:kern w:val="0"/>
                <w:sz w:val="18"/>
                <w:szCs w:val="18"/>
                <w:highlight w:val="none"/>
              </w:rPr>
              <w:t>（100g/L上清液）</w:t>
            </w:r>
          </w:p>
        </w:tc>
        <w:tc>
          <w:tcPr>
            <w:tcW w:w="3475" w:type="dxa"/>
            <w:shd w:val="clear" w:color="auto" w:fill="auto"/>
            <w:vAlign w:val="center"/>
          </w:tcPr>
          <w:p>
            <w:pPr>
              <w:widowControl/>
              <w:autoSpaceDE w:val="0"/>
              <w:autoSpaceDN w:val="0"/>
              <w:adjustRightInd/>
              <w:spacing w:line="360" w:lineRule="exact"/>
              <w:jc w:val="center"/>
              <w:rPr>
                <w:rFonts w:ascii="Times New Roman" w:hAnsi="Times New Roman"/>
                <w:color w:val="auto"/>
                <w:kern w:val="0"/>
                <w:sz w:val="18"/>
                <w:szCs w:val="18"/>
                <w:highlight w:val="none"/>
              </w:rPr>
            </w:pPr>
            <w:r>
              <w:rPr>
                <w:rFonts w:hint="eastAsia" w:ascii="宋体" w:hAnsi="宋体" w:cs="宋体"/>
                <w:color w:val="auto"/>
                <w:kern w:val="0"/>
                <w:sz w:val="18"/>
                <w:szCs w:val="18"/>
                <w:highlight w:val="none"/>
              </w:rPr>
              <w:t>≤</w:t>
            </w:r>
            <w:r>
              <w:rPr>
                <w:rFonts w:hint="eastAsia" w:ascii="Times New Roman" w:hAnsi="Times New Roman"/>
                <w:color w:val="auto"/>
                <w:kern w:val="0"/>
                <w:sz w:val="18"/>
                <w:szCs w:val="18"/>
                <w:highlight w:val="none"/>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5530" w:type="dxa"/>
            <w:tcBorders>
              <w:right w:val="nil"/>
            </w:tcBorders>
            <w:shd w:val="clear" w:color="auto" w:fill="auto"/>
            <w:vAlign w:val="center"/>
          </w:tcPr>
          <w:p>
            <w:pPr>
              <w:widowControl/>
              <w:autoSpaceDE w:val="0"/>
              <w:autoSpaceDN w:val="0"/>
              <w:adjustRightInd/>
              <w:spacing w:line="360" w:lineRule="exact"/>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振实密度/（</w:t>
            </w:r>
            <w:r>
              <w:rPr>
                <w:rFonts w:ascii="Times New Roman" w:hAnsi="Times New Roman"/>
                <w:color w:val="auto"/>
                <w:kern w:val="0"/>
                <w:sz w:val="18"/>
                <w:szCs w:val="18"/>
                <w:highlight w:val="none"/>
              </w:rPr>
              <w:t>g/cm</w:t>
            </w:r>
            <w:r>
              <w:rPr>
                <w:rFonts w:ascii="Times New Roman" w:hAnsi="Times New Roman"/>
                <w:color w:val="auto"/>
                <w:kern w:val="0"/>
                <w:sz w:val="18"/>
                <w:szCs w:val="18"/>
                <w:highlight w:val="none"/>
                <w:vertAlign w:val="superscript"/>
              </w:rPr>
              <w:t>3</w:t>
            </w:r>
            <w:r>
              <w:rPr>
                <w:rFonts w:hint="eastAsia" w:ascii="Times New Roman" w:hAnsi="Times New Roman"/>
                <w:color w:val="auto"/>
                <w:kern w:val="0"/>
                <w:sz w:val="18"/>
                <w:szCs w:val="18"/>
                <w:highlight w:val="none"/>
              </w:rPr>
              <w:t>）</w:t>
            </w:r>
          </w:p>
        </w:tc>
        <w:tc>
          <w:tcPr>
            <w:tcW w:w="3475" w:type="dxa"/>
            <w:shd w:val="clear" w:color="auto" w:fill="auto"/>
          </w:tcPr>
          <w:p>
            <w:pPr>
              <w:widowControl/>
              <w:autoSpaceDE w:val="0"/>
              <w:autoSpaceDN w:val="0"/>
              <w:adjustRightInd/>
              <w:spacing w:line="360" w:lineRule="exact"/>
              <w:jc w:val="center"/>
              <w:rPr>
                <w:rFonts w:ascii="宋体" w:hAnsi="宋体"/>
                <w:color w:val="auto"/>
                <w:kern w:val="0"/>
                <w:sz w:val="18"/>
                <w:szCs w:val="18"/>
                <w:highlight w:val="none"/>
              </w:rPr>
            </w:pPr>
            <w:r>
              <w:rPr>
                <w:rFonts w:hint="eastAsia" w:ascii="宋体" w:hAnsi="宋体"/>
                <w:color w:val="auto"/>
                <w:kern w:val="0"/>
                <w:sz w:val="18"/>
                <w:szCs w:val="18"/>
                <w:highlight w:val="none"/>
              </w:rPr>
              <w:t>≥</w:t>
            </w:r>
            <w:r>
              <w:rPr>
                <w:rFonts w:hint="eastAsia" w:ascii="Times New Roman" w:hAnsi="Times New Roman"/>
                <w:color w:val="auto"/>
                <w:kern w:val="0"/>
                <w:sz w:val="18"/>
                <w:szCs w:val="18"/>
                <w:highlight w:val="none"/>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0" w:type="dxa"/>
            <w:tcBorders>
              <w:right w:val="nil"/>
            </w:tcBorders>
            <w:shd w:val="clear" w:color="auto" w:fill="auto"/>
            <w:vAlign w:val="center"/>
          </w:tcPr>
          <w:p>
            <w:pPr>
              <w:widowControl/>
              <w:autoSpaceDE w:val="0"/>
              <w:autoSpaceDN w:val="0"/>
              <w:adjustRightInd/>
              <w:spacing w:line="360" w:lineRule="exact"/>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粒度分布（D</w:t>
            </w:r>
            <w:r>
              <w:rPr>
                <w:rFonts w:ascii="Times New Roman" w:hAnsi="Times New Roman"/>
                <w:color w:val="auto"/>
                <w:kern w:val="0"/>
                <w:sz w:val="18"/>
                <w:szCs w:val="18"/>
                <w:highlight w:val="none"/>
                <w:vertAlign w:val="subscript"/>
              </w:rPr>
              <w:t>50</w:t>
            </w:r>
            <w:r>
              <w:rPr>
                <w:rFonts w:hint="eastAsia" w:ascii="Times New Roman" w:hAnsi="Times New Roman"/>
                <w:color w:val="auto"/>
                <w:kern w:val="0"/>
                <w:sz w:val="18"/>
                <w:szCs w:val="18"/>
                <w:highlight w:val="none"/>
              </w:rPr>
              <w:t>）/</w:t>
            </w:r>
            <w:r>
              <w:rPr>
                <w:rFonts w:ascii="Times New Roman" w:hAnsi="Times New Roman"/>
                <w:color w:val="auto"/>
                <w:kern w:val="0"/>
                <w:sz w:val="18"/>
                <w:szCs w:val="18"/>
                <w:highlight w:val="none"/>
              </w:rPr>
              <w:t>μm</w:t>
            </w:r>
          </w:p>
        </w:tc>
        <w:tc>
          <w:tcPr>
            <w:tcW w:w="3475" w:type="dxa"/>
            <w:shd w:val="clear" w:color="auto" w:fill="auto"/>
          </w:tcPr>
          <w:p>
            <w:pPr>
              <w:widowControl/>
              <w:autoSpaceDE w:val="0"/>
              <w:autoSpaceDN w:val="0"/>
              <w:adjustRightInd/>
              <w:spacing w:line="360" w:lineRule="exact"/>
              <w:jc w:val="center"/>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3.0～1</w:t>
            </w:r>
            <w:r>
              <w:rPr>
                <w:rFonts w:ascii="Times New Roman" w:hAnsi="Times New Roman"/>
                <w:color w:val="auto"/>
                <w:kern w:val="0"/>
                <w:sz w:val="18"/>
                <w:szCs w:val="18"/>
                <w:highlight w:val="none"/>
              </w:rPr>
              <w:t>5</w:t>
            </w:r>
            <w:r>
              <w:rPr>
                <w:rFonts w:hint="eastAsia" w:ascii="Times New Roman" w:hAnsi="Times New Roman"/>
                <w:color w:val="auto"/>
                <w:kern w:val="0"/>
                <w:sz w:val="18"/>
                <w:szCs w:val="18"/>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30" w:type="dxa"/>
            <w:tcBorders>
              <w:right w:val="nil"/>
            </w:tcBorders>
            <w:shd w:val="clear" w:color="auto" w:fill="auto"/>
            <w:vAlign w:val="center"/>
          </w:tcPr>
          <w:p>
            <w:pPr>
              <w:widowControl/>
              <w:autoSpaceDE w:val="0"/>
              <w:autoSpaceDN w:val="0"/>
              <w:adjustRightInd/>
              <w:spacing w:line="360" w:lineRule="exact"/>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比表面积/（</w:t>
            </w:r>
            <w:r>
              <w:rPr>
                <w:rFonts w:ascii="Times New Roman" w:hAnsi="Times New Roman"/>
                <w:color w:val="auto"/>
                <w:kern w:val="0"/>
                <w:sz w:val="18"/>
                <w:szCs w:val="18"/>
                <w:highlight w:val="none"/>
              </w:rPr>
              <w:t>m</w:t>
            </w:r>
            <w:r>
              <w:rPr>
                <w:rFonts w:ascii="Times New Roman" w:hAnsi="Times New Roman"/>
                <w:color w:val="auto"/>
                <w:kern w:val="0"/>
                <w:sz w:val="18"/>
                <w:szCs w:val="18"/>
                <w:highlight w:val="none"/>
                <w:vertAlign w:val="superscript"/>
              </w:rPr>
              <w:t>2</w:t>
            </w:r>
            <w:r>
              <w:rPr>
                <w:rFonts w:ascii="Times New Roman" w:hAnsi="Times New Roman"/>
                <w:color w:val="auto"/>
                <w:kern w:val="0"/>
                <w:sz w:val="18"/>
                <w:szCs w:val="18"/>
                <w:highlight w:val="none"/>
              </w:rPr>
              <w:t>/g</w:t>
            </w:r>
            <w:r>
              <w:rPr>
                <w:rFonts w:hint="eastAsia" w:ascii="Times New Roman" w:hAnsi="Times New Roman"/>
                <w:color w:val="auto"/>
                <w:kern w:val="0"/>
                <w:sz w:val="18"/>
                <w:szCs w:val="18"/>
                <w:highlight w:val="none"/>
              </w:rPr>
              <w:t>）</w:t>
            </w:r>
          </w:p>
        </w:tc>
        <w:tc>
          <w:tcPr>
            <w:tcW w:w="3475" w:type="dxa"/>
            <w:shd w:val="clear" w:color="auto" w:fill="auto"/>
          </w:tcPr>
          <w:p>
            <w:pPr>
              <w:widowControl/>
              <w:autoSpaceDE w:val="0"/>
              <w:autoSpaceDN w:val="0"/>
              <w:adjustRightInd/>
              <w:spacing w:line="360" w:lineRule="exact"/>
              <w:jc w:val="center"/>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0.1～1.0</w:t>
            </w:r>
          </w:p>
        </w:tc>
      </w:tr>
    </w:tbl>
    <w:p>
      <w:pPr>
        <w:widowControl/>
        <w:tabs>
          <w:tab w:val="left" w:pos="0"/>
        </w:tabs>
        <w:adjustRightInd/>
        <w:spacing w:beforeLines="50" w:afterLines="50" w:line="240" w:lineRule="auto"/>
        <w:jc w:val="center"/>
        <w:rPr>
          <w:rFonts w:ascii="黑体" w:hAnsi="黑体" w:eastAsia="黑体"/>
          <w:color w:val="auto"/>
          <w:kern w:val="0"/>
          <w:szCs w:val="20"/>
          <w:highlight w:val="none"/>
        </w:rPr>
      </w:pPr>
      <w:r>
        <w:rPr>
          <w:rFonts w:hint="eastAsia" w:ascii="黑体" w:hAnsi="黑体" w:eastAsia="黑体"/>
          <w:color w:val="auto"/>
          <w:kern w:val="0"/>
          <w:szCs w:val="20"/>
          <w:highlight w:val="none"/>
        </w:rPr>
        <w:t>表2</w:t>
      </w:r>
      <w:r>
        <w:rPr>
          <w:rFonts w:ascii="黑体" w:hAnsi="黑体" w:eastAsia="黑体"/>
          <w:color w:val="auto"/>
          <w:kern w:val="0"/>
          <w:szCs w:val="20"/>
          <w:highlight w:val="none"/>
        </w:rPr>
        <w:t xml:space="preserve"> </w:t>
      </w:r>
      <w:r>
        <w:rPr>
          <w:rFonts w:hint="eastAsia" w:ascii="黑体" w:hAnsi="黑体" w:eastAsia="黑体"/>
          <w:color w:val="auto"/>
          <w:kern w:val="0"/>
          <w:szCs w:val="20"/>
          <w:highlight w:val="none"/>
        </w:rPr>
        <w:t xml:space="preserve"> 电化学性能指标</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26"/>
        <w:gridCol w:w="4759"/>
        <w:gridCol w:w="1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26" w:type="dxa"/>
          </w:tcPr>
          <w:p>
            <w:pPr>
              <w:widowControl/>
              <w:autoSpaceDE w:val="0"/>
              <w:autoSpaceDN w:val="0"/>
              <w:adjustRightInd/>
              <w:spacing w:line="360" w:lineRule="exact"/>
              <w:jc w:val="center"/>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项目</w:t>
            </w:r>
          </w:p>
        </w:tc>
        <w:tc>
          <w:tcPr>
            <w:tcW w:w="4759" w:type="dxa"/>
          </w:tcPr>
          <w:p>
            <w:pPr>
              <w:widowControl/>
              <w:autoSpaceDE w:val="0"/>
              <w:autoSpaceDN w:val="0"/>
              <w:adjustRightInd/>
              <w:spacing w:line="360" w:lineRule="exact"/>
              <w:jc w:val="center"/>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条件</w:t>
            </w:r>
          </w:p>
        </w:tc>
        <w:tc>
          <w:tcPr>
            <w:tcW w:w="1412" w:type="dxa"/>
          </w:tcPr>
          <w:p>
            <w:pPr>
              <w:widowControl/>
              <w:autoSpaceDE w:val="0"/>
              <w:autoSpaceDN w:val="0"/>
              <w:adjustRightInd/>
              <w:spacing w:line="360" w:lineRule="exact"/>
              <w:jc w:val="center"/>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26" w:type="dxa"/>
            <w:vAlign w:val="center"/>
          </w:tcPr>
          <w:p>
            <w:pPr>
              <w:widowControl/>
              <w:autoSpaceDE w:val="0"/>
              <w:autoSpaceDN w:val="0"/>
              <w:adjustRightInd/>
              <w:spacing w:line="360" w:lineRule="exact"/>
              <w:rPr>
                <w:rFonts w:ascii="Times New Roman" w:hAnsi="Times New Roman"/>
                <w:color w:val="auto"/>
                <w:kern w:val="0"/>
                <w:sz w:val="18"/>
                <w:szCs w:val="18"/>
                <w:highlight w:val="none"/>
              </w:rPr>
            </w:pPr>
            <w:bookmarkStart w:id="36" w:name="_Hlk143531370"/>
            <w:r>
              <w:rPr>
                <w:rFonts w:hint="eastAsia" w:ascii="Times New Roman" w:hAnsi="Times New Roman"/>
                <w:color w:val="auto"/>
                <w:kern w:val="0"/>
                <w:sz w:val="18"/>
                <w:szCs w:val="18"/>
                <w:highlight w:val="none"/>
              </w:rPr>
              <w:t>首次放电比容量</w:t>
            </w:r>
            <w:bookmarkEnd w:id="36"/>
            <w:r>
              <w:rPr>
                <w:rFonts w:hint="eastAsia" w:ascii="Times New Roman" w:hAnsi="Times New Roman"/>
                <w:color w:val="auto"/>
                <w:kern w:val="0"/>
                <w:sz w:val="18"/>
                <w:szCs w:val="18"/>
                <w:highlight w:val="none"/>
              </w:rPr>
              <w:t>/（</w:t>
            </w:r>
            <w:r>
              <w:rPr>
                <w:rFonts w:hint="eastAsia" w:ascii="Times New Roman"/>
                <w:color w:val="auto"/>
                <w:highlight w:val="none"/>
              </w:rPr>
              <w:t>mA</w:t>
            </w:r>
            <w:r>
              <w:rPr>
                <w:rFonts w:ascii="Times New Roman"/>
                <w:color w:val="auto"/>
                <w:highlight w:val="none"/>
              </w:rPr>
              <w:t>‧</w:t>
            </w:r>
            <w:r>
              <w:rPr>
                <w:rFonts w:hint="eastAsia" w:ascii="Times New Roman"/>
                <w:color w:val="auto"/>
                <w:highlight w:val="none"/>
              </w:rPr>
              <w:t>h</w:t>
            </w:r>
            <w:r>
              <w:rPr>
                <w:rFonts w:ascii="Times New Roman"/>
                <w:color w:val="auto"/>
                <w:highlight w:val="none"/>
              </w:rPr>
              <w:t>/</w:t>
            </w:r>
            <w:r>
              <w:rPr>
                <w:rFonts w:hint="eastAsia" w:ascii="Times New Roman"/>
                <w:color w:val="auto"/>
                <w:highlight w:val="none"/>
              </w:rPr>
              <w:t>g</w:t>
            </w:r>
            <w:r>
              <w:rPr>
                <w:rFonts w:hint="eastAsia" w:ascii="Times New Roman" w:hAnsi="Times New Roman"/>
                <w:color w:val="auto"/>
                <w:kern w:val="0"/>
                <w:sz w:val="18"/>
                <w:szCs w:val="18"/>
                <w:highlight w:val="none"/>
              </w:rPr>
              <w:t>）</w:t>
            </w:r>
          </w:p>
        </w:tc>
        <w:tc>
          <w:tcPr>
            <w:tcW w:w="4759" w:type="dxa"/>
          </w:tcPr>
          <w:p>
            <w:pPr>
              <w:widowControl/>
              <w:autoSpaceDE w:val="0"/>
              <w:autoSpaceDN w:val="0"/>
              <w:adjustRightInd/>
              <w:spacing w:line="360" w:lineRule="exact"/>
              <w:jc w:val="left"/>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电压范围</w:t>
            </w:r>
            <w:r>
              <w:rPr>
                <w:rFonts w:ascii="Times New Roman" w:hAnsi="Times New Roman"/>
                <w:color w:val="auto"/>
                <w:kern w:val="0"/>
                <w:sz w:val="18"/>
                <w:szCs w:val="18"/>
                <w:highlight w:val="none"/>
              </w:rPr>
              <w:t>2.0 V</w:t>
            </w:r>
            <w:r>
              <w:rPr>
                <w:rFonts w:hint="eastAsia" w:ascii="Times New Roman" w:hAnsi="Times New Roman"/>
                <w:color w:val="auto"/>
                <w:kern w:val="0"/>
                <w:sz w:val="18"/>
                <w:szCs w:val="18"/>
                <w:highlight w:val="none"/>
              </w:rPr>
              <w:t>～</w:t>
            </w:r>
            <w:r>
              <w:rPr>
                <w:rFonts w:ascii="Times New Roman" w:hAnsi="Times New Roman"/>
                <w:color w:val="auto"/>
                <w:kern w:val="0"/>
                <w:sz w:val="18"/>
                <w:szCs w:val="18"/>
                <w:highlight w:val="none"/>
              </w:rPr>
              <w:t>4.0</w:t>
            </w:r>
            <w:r>
              <w:rPr>
                <w:rFonts w:hint="eastAsia" w:ascii="Times New Roman" w:hAnsi="Times New Roman"/>
                <w:color w:val="auto"/>
                <w:kern w:val="0"/>
                <w:sz w:val="18"/>
                <w:szCs w:val="18"/>
                <w:highlight w:val="none"/>
              </w:rPr>
              <w:t xml:space="preserve"> </w:t>
            </w:r>
            <w:r>
              <w:rPr>
                <w:rFonts w:ascii="Times New Roman" w:hAnsi="Times New Roman"/>
                <w:color w:val="auto"/>
                <w:kern w:val="0"/>
                <w:sz w:val="18"/>
                <w:szCs w:val="18"/>
                <w:highlight w:val="none"/>
              </w:rPr>
              <w:t>V</w:t>
            </w:r>
            <w:r>
              <w:rPr>
                <w:rFonts w:hint="eastAsia" w:ascii="Times New Roman" w:hAnsi="Times New Roman"/>
                <w:color w:val="auto"/>
                <w:kern w:val="0"/>
                <w:sz w:val="18"/>
                <w:szCs w:val="18"/>
                <w:highlight w:val="none"/>
              </w:rPr>
              <w:t>，0</w:t>
            </w:r>
            <w:r>
              <w:rPr>
                <w:rFonts w:ascii="Times New Roman" w:hAnsi="Times New Roman"/>
                <w:color w:val="auto"/>
                <w:kern w:val="0"/>
                <w:sz w:val="18"/>
                <w:szCs w:val="18"/>
                <w:highlight w:val="none"/>
              </w:rPr>
              <w:t xml:space="preserve">.1 C </w:t>
            </w:r>
            <w:r>
              <w:rPr>
                <w:rFonts w:hint="eastAsia" w:ascii="Times New Roman" w:hAnsi="Times New Roman"/>
                <w:color w:val="auto"/>
                <w:kern w:val="0"/>
                <w:sz w:val="18"/>
                <w:szCs w:val="18"/>
                <w:highlight w:val="none"/>
              </w:rPr>
              <w:t>充放电倍率条件下</w:t>
            </w:r>
          </w:p>
        </w:tc>
        <w:tc>
          <w:tcPr>
            <w:tcW w:w="1412" w:type="dxa"/>
            <w:vAlign w:val="center"/>
          </w:tcPr>
          <w:p>
            <w:pPr>
              <w:widowControl/>
              <w:autoSpaceDE w:val="0"/>
              <w:autoSpaceDN w:val="0"/>
              <w:adjustRightInd/>
              <w:spacing w:line="360" w:lineRule="exact"/>
              <w:jc w:val="center"/>
              <w:rPr>
                <w:rFonts w:ascii="Times New Roman" w:hAnsi="Times New Roman"/>
                <w:color w:val="auto"/>
                <w:kern w:val="0"/>
                <w:sz w:val="18"/>
                <w:szCs w:val="18"/>
                <w:highlight w:val="none"/>
              </w:rPr>
            </w:pPr>
            <w:r>
              <w:rPr>
                <w:rFonts w:hint="eastAsia" w:ascii="宋体" w:hAnsi="宋体"/>
                <w:color w:val="auto"/>
                <w:kern w:val="0"/>
                <w:sz w:val="18"/>
                <w:szCs w:val="18"/>
                <w:highlight w:val="none"/>
              </w:rPr>
              <w:t>≥</w:t>
            </w:r>
            <w:r>
              <w:rPr>
                <w:rFonts w:hint="eastAsia" w:ascii="Times New Roman" w:hAnsi="Times New Roman"/>
                <w:color w:val="auto"/>
                <w:kern w:val="0"/>
                <w:sz w:val="18"/>
                <w:szCs w:val="18"/>
                <w:highlight w:val="none"/>
              </w:rPr>
              <w:t>1</w:t>
            </w:r>
            <w:r>
              <w:rPr>
                <w:rFonts w:ascii="Times New Roman" w:hAnsi="Times New Roman"/>
                <w:color w:val="auto"/>
                <w:kern w:val="0"/>
                <w:sz w:val="18"/>
                <w:szCs w:val="18"/>
                <w:highlight w:val="none"/>
              </w:rPr>
              <w:t xml:space="preserve">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26" w:type="dxa"/>
            <w:vAlign w:val="center"/>
          </w:tcPr>
          <w:p>
            <w:pPr>
              <w:widowControl/>
              <w:autoSpaceDE w:val="0"/>
              <w:autoSpaceDN w:val="0"/>
              <w:adjustRightInd/>
              <w:spacing w:line="360" w:lineRule="exact"/>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首次充放电效率/</w:t>
            </w:r>
            <w:r>
              <w:rPr>
                <w:rFonts w:ascii="Times New Roman" w:hAnsi="Times New Roman"/>
                <w:color w:val="auto"/>
                <w:kern w:val="0"/>
                <w:sz w:val="18"/>
                <w:szCs w:val="18"/>
                <w:highlight w:val="none"/>
              </w:rPr>
              <w:t>%</w:t>
            </w:r>
            <w:r>
              <w:rPr>
                <w:rFonts w:hint="eastAsia" w:ascii="Times New Roman" w:hAnsi="Times New Roman"/>
                <w:color w:val="auto"/>
                <w:kern w:val="0"/>
                <w:sz w:val="18"/>
                <w:szCs w:val="18"/>
                <w:highlight w:val="none"/>
              </w:rPr>
              <w:t xml:space="preserve">         </w:t>
            </w:r>
          </w:p>
        </w:tc>
        <w:tc>
          <w:tcPr>
            <w:tcW w:w="4759" w:type="dxa"/>
          </w:tcPr>
          <w:p>
            <w:pPr>
              <w:widowControl/>
              <w:autoSpaceDE w:val="0"/>
              <w:autoSpaceDN w:val="0"/>
              <w:adjustRightInd/>
              <w:spacing w:line="360" w:lineRule="exact"/>
              <w:jc w:val="left"/>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电压范围</w:t>
            </w:r>
            <w:r>
              <w:rPr>
                <w:rFonts w:ascii="Times New Roman" w:hAnsi="Times New Roman"/>
                <w:color w:val="auto"/>
                <w:kern w:val="0"/>
                <w:sz w:val="18"/>
                <w:szCs w:val="18"/>
                <w:highlight w:val="none"/>
              </w:rPr>
              <w:t>2.0 V</w:t>
            </w:r>
            <w:r>
              <w:rPr>
                <w:rFonts w:hint="eastAsia" w:ascii="Times New Roman" w:hAnsi="Times New Roman"/>
                <w:color w:val="auto"/>
                <w:kern w:val="0"/>
                <w:sz w:val="18"/>
                <w:szCs w:val="18"/>
                <w:highlight w:val="none"/>
              </w:rPr>
              <w:t>～</w:t>
            </w:r>
            <w:r>
              <w:rPr>
                <w:rFonts w:ascii="Times New Roman" w:hAnsi="Times New Roman"/>
                <w:color w:val="auto"/>
                <w:kern w:val="0"/>
                <w:sz w:val="18"/>
                <w:szCs w:val="18"/>
                <w:highlight w:val="none"/>
              </w:rPr>
              <w:t>4.0</w:t>
            </w:r>
            <w:r>
              <w:rPr>
                <w:rFonts w:hint="eastAsia" w:ascii="Times New Roman" w:hAnsi="Times New Roman"/>
                <w:color w:val="auto"/>
                <w:kern w:val="0"/>
                <w:sz w:val="18"/>
                <w:szCs w:val="18"/>
                <w:highlight w:val="none"/>
              </w:rPr>
              <w:t xml:space="preserve"> </w:t>
            </w:r>
            <w:r>
              <w:rPr>
                <w:rFonts w:ascii="Times New Roman" w:hAnsi="Times New Roman"/>
                <w:color w:val="auto"/>
                <w:kern w:val="0"/>
                <w:sz w:val="18"/>
                <w:szCs w:val="18"/>
                <w:highlight w:val="none"/>
              </w:rPr>
              <w:t>V</w:t>
            </w:r>
            <w:r>
              <w:rPr>
                <w:rFonts w:hint="eastAsia" w:ascii="Times New Roman" w:hAnsi="Times New Roman"/>
                <w:color w:val="auto"/>
                <w:kern w:val="0"/>
                <w:sz w:val="18"/>
                <w:szCs w:val="18"/>
                <w:highlight w:val="none"/>
              </w:rPr>
              <w:t>，0</w:t>
            </w:r>
            <w:r>
              <w:rPr>
                <w:rFonts w:ascii="Times New Roman" w:hAnsi="Times New Roman"/>
                <w:color w:val="auto"/>
                <w:kern w:val="0"/>
                <w:sz w:val="18"/>
                <w:szCs w:val="18"/>
                <w:highlight w:val="none"/>
              </w:rPr>
              <w:t xml:space="preserve">.1 C </w:t>
            </w:r>
            <w:r>
              <w:rPr>
                <w:rFonts w:hint="eastAsia" w:ascii="Times New Roman" w:hAnsi="Times New Roman"/>
                <w:color w:val="auto"/>
                <w:kern w:val="0"/>
                <w:sz w:val="18"/>
                <w:szCs w:val="18"/>
                <w:highlight w:val="none"/>
              </w:rPr>
              <w:t>充放电倍率条件下</w:t>
            </w:r>
          </w:p>
        </w:tc>
        <w:tc>
          <w:tcPr>
            <w:tcW w:w="1412" w:type="dxa"/>
            <w:vAlign w:val="center"/>
          </w:tcPr>
          <w:p>
            <w:pPr>
              <w:widowControl/>
              <w:autoSpaceDE w:val="0"/>
              <w:autoSpaceDN w:val="0"/>
              <w:adjustRightInd/>
              <w:spacing w:line="360" w:lineRule="exact"/>
              <w:jc w:val="center"/>
              <w:rPr>
                <w:rFonts w:ascii="Times New Roman" w:hAnsi="Times New Roman"/>
                <w:color w:val="auto"/>
                <w:kern w:val="0"/>
                <w:sz w:val="18"/>
                <w:szCs w:val="18"/>
                <w:highlight w:val="none"/>
              </w:rPr>
            </w:pPr>
            <w:r>
              <w:rPr>
                <w:rFonts w:hint="eastAsia" w:ascii="宋体" w:hAnsi="宋体"/>
                <w:color w:val="auto"/>
                <w:kern w:val="0"/>
                <w:sz w:val="18"/>
                <w:szCs w:val="18"/>
                <w:highlight w:val="none"/>
              </w:rPr>
              <w:t>≥</w:t>
            </w:r>
            <w:r>
              <w:rPr>
                <w:rFonts w:ascii="Times New Roman" w:hAnsi="Times New Roman"/>
                <w:color w:val="auto"/>
                <w:kern w:val="0"/>
                <w:sz w:val="18"/>
                <w:szCs w:val="18"/>
                <w:highlight w:val="none"/>
              </w:rPr>
              <w:t xml:space="preserve">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26" w:type="dxa"/>
            <w:vAlign w:val="center"/>
          </w:tcPr>
          <w:p>
            <w:pPr>
              <w:widowControl/>
              <w:autoSpaceDE w:val="0"/>
              <w:autoSpaceDN w:val="0"/>
              <w:adjustRightInd/>
              <w:spacing w:line="360" w:lineRule="exact"/>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循环寿命/</w:t>
            </w:r>
            <w:r>
              <w:rPr>
                <w:rFonts w:hint="eastAsia" w:ascii="宋体" w:hAnsi="宋体"/>
                <w:color w:val="auto"/>
                <w:kern w:val="0"/>
                <w:sz w:val="18"/>
                <w:szCs w:val="18"/>
                <w:highlight w:val="none"/>
              </w:rPr>
              <w:t xml:space="preserve">次               </w:t>
            </w:r>
          </w:p>
        </w:tc>
        <w:tc>
          <w:tcPr>
            <w:tcW w:w="4759" w:type="dxa"/>
          </w:tcPr>
          <w:p>
            <w:pPr>
              <w:widowControl/>
              <w:autoSpaceDE w:val="0"/>
              <w:autoSpaceDN w:val="0"/>
              <w:adjustRightInd/>
              <w:spacing w:line="360" w:lineRule="exact"/>
              <w:jc w:val="left"/>
              <w:rPr>
                <w:rFonts w:ascii="Times New Roman" w:hAnsi="Times New Roman"/>
                <w:color w:val="auto"/>
                <w:kern w:val="0"/>
                <w:sz w:val="18"/>
                <w:szCs w:val="18"/>
                <w:highlight w:val="none"/>
              </w:rPr>
            </w:pPr>
            <w:r>
              <w:rPr>
                <w:rFonts w:hint="eastAsia" w:ascii="Times New Roman" w:hAnsi="Times New Roman"/>
                <w:color w:val="auto"/>
                <w:kern w:val="0"/>
                <w:sz w:val="18"/>
                <w:szCs w:val="18"/>
                <w:highlight w:val="none"/>
              </w:rPr>
              <w:t>电压范围</w:t>
            </w:r>
            <w:r>
              <w:rPr>
                <w:rFonts w:ascii="Times New Roman" w:hAnsi="Times New Roman"/>
                <w:color w:val="auto"/>
                <w:kern w:val="0"/>
                <w:sz w:val="18"/>
                <w:szCs w:val="18"/>
                <w:highlight w:val="none"/>
              </w:rPr>
              <w:t>2.0</w:t>
            </w:r>
            <w:r>
              <w:rPr>
                <w:rFonts w:hint="eastAsia" w:ascii="Times New Roman" w:hAnsi="Times New Roman"/>
                <w:color w:val="auto"/>
                <w:kern w:val="0"/>
                <w:sz w:val="18"/>
                <w:szCs w:val="18"/>
                <w:highlight w:val="none"/>
              </w:rPr>
              <w:t xml:space="preserve"> V～</w:t>
            </w:r>
            <w:r>
              <w:rPr>
                <w:rFonts w:ascii="Times New Roman" w:hAnsi="Times New Roman"/>
                <w:color w:val="auto"/>
                <w:kern w:val="0"/>
                <w:sz w:val="18"/>
                <w:szCs w:val="18"/>
                <w:highlight w:val="none"/>
              </w:rPr>
              <w:t>4.0</w:t>
            </w:r>
            <w:r>
              <w:rPr>
                <w:rFonts w:hint="eastAsia" w:ascii="Times New Roman" w:hAnsi="Times New Roman"/>
                <w:color w:val="auto"/>
                <w:kern w:val="0"/>
                <w:sz w:val="18"/>
                <w:szCs w:val="18"/>
                <w:highlight w:val="none"/>
              </w:rPr>
              <w:t xml:space="preserve"> V，1.0 C 充放电倍率条件下，放电容量达到首次循环放电容量的8</w:t>
            </w:r>
            <w:r>
              <w:rPr>
                <w:rFonts w:ascii="Times New Roman" w:hAnsi="Times New Roman"/>
                <w:color w:val="auto"/>
                <w:kern w:val="0"/>
                <w:sz w:val="18"/>
                <w:szCs w:val="18"/>
                <w:highlight w:val="none"/>
              </w:rPr>
              <w:t>0 %</w:t>
            </w:r>
            <w:r>
              <w:rPr>
                <w:rFonts w:hint="eastAsia" w:ascii="Times New Roman" w:hAnsi="Times New Roman"/>
                <w:color w:val="auto"/>
                <w:kern w:val="0"/>
                <w:sz w:val="18"/>
                <w:szCs w:val="18"/>
                <w:highlight w:val="none"/>
              </w:rPr>
              <w:t>时</w:t>
            </w:r>
          </w:p>
        </w:tc>
        <w:tc>
          <w:tcPr>
            <w:tcW w:w="1412" w:type="dxa"/>
            <w:vAlign w:val="center"/>
          </w:tcPr>
          <w:p>
            <w:pPr>
              <w:widowControl/>
              <w:autoSpaceDE w:val="0"/>
              <w:autoSpaceDN w:val="0"/>
              <w:adjustRightInd/>
              <w:spacing w:line="360" w:lineRule="exact"/>
              <w:jc w:val="center"/>
              <w:rPr>
                <w:rFonts w:ascii="Times New Roman" w:hAnsi="Times New Roman"/>
                <w:color w:val="auto"/>
                <w:kern w:val="0"/>
                <w:sz w:val="18"/>
                <w:szCs w:val="18"/>
                <w:highlight w:val="none"/>
              </w:rPr>
            </w:pPr>
            <w:r>
              <w:rPr>
                <w:rFonts w:hint="eastAsia" w:ascii="宋体" w:hAnsi="宋体"/>
                <w:color w:val="auto"/>
                <w:kern w:val="0"/>
                <w:sz w:val="18"/>
                <w:szCs w:val="18"/>
                <w:highlight w:val="none"/>
              </w:rPr>
              <w:t>≥</w:t>
            </w:r>
            <w:r>
              <w:rPr>
                <w:rFonts w:hint="eastAsia" w:ascii="Times New Roman" w:hAnsi="Times New Roman"/>
                <w:color w:val="auto"/>
                <w:kern w:val="0"/>
                <w:sz w:val="18"/>
                <w:szCs w:val="18"/>
                <w:highlight w:val="none"/>
              </w:rPr>
              <w:t>100</w:t>
            </w:r>
            <w:r>
              <w:rPr>
                <w:rFonts w:ascii="Times New Roman" w:hAnsi="Times New Roman"/>
                <w:color w:val="auto"/>
                <w:kern w:val="0"/>
                <w:sz w:val="18"/>
                <w:szCs w:val="18"/>
                <w:highlight w:val="none"/>
              </w:rPr>
              <w:t xml:space="preserve"> </w:t>
            </w:r>
          </w:p>
        </w:tc>
      </w:tr>
    </w:tbl>
    <w:p>
      <w:pPr>
        <w:widowControl/>
        <w:numPr>
          <w:ilvl w:val="1"/>
          <w:numId w:val="2"/>
        </w:numPr>
        <w:adjustRightInd/>
        <w:spacing w:beforeLines="100" w:afterLines="100" w:line="360" w:lineRule="exact"/>
        <w:outlineLvl w:val="0"/>
        <w:rPr>
          <w:rFonts w:ascii="Times New Roman" w:hAnsi="Times New Roman" w:eastAsia="黑体"/>
          <w:color w:val="auto"/>
          <w:kern w:val="0"/>
          <w:szCs w:val="20"/>
          <w:highlight w:val="none"/>
        </w:rPr>
      </w:pPr>
      <w:r>
        <w:rPr>
          <w:rFonts w:hint="eastAsia" w:ascii="Times New Roman" w:hAnsi="Times New Roman" w:eastAsia="黑体"/>
          <w:color w:val="auto"/>
          <w:kern w:val="0"/>
          <w:szCs w:val="20"/>
          <w:highlight w:val="none"/>
        </w:rPr>
        <w:t>试验方法</w:t>
      </w:r>
    </w:p>
    <w:p>
      <w:pPr>
        <w:widowControl/>
        <w:adjustRightInd/>
        <w:spacing w:beforeLines="100" w:afterLines="100" w:line="360" w:lineRule="exact"/>
        <w:ind w:firstLine="420" w:firstLineChars="200"/>
        <w:outlineLvl w:val="0"/>
        <w:rPr>
          <w:rFonts w:ascii="黑体" w:hAnsi="黑体" w:eastAsia="黑体" w:cs="黑体"/>
          <w:color w:val="auto"/>
          <w:szCs w:val="24"/>
          <w:highlight w:val="none"/>
        </w:rPr>
      </w:pPr>
      <w:r>
        <w:rPr>
          <w:rFonts w:hint="eastAsia" w:ascii="黑体" w:hAnsi="黑体" w:eastAsia="黑体" w:cs="黑体"/>
          <w:color w:val="auto"/>
          <w:szCs w:val="24"/>
          <w:highlight w:val="none"/>
        </w:rPr>
        <w:t>警告：本试验方法中使用的部分试剂具有毒性或腐蚀性，操作者需小心谨慎！挥发性物质、有刺激性气味物质，操作时应在通风良好的通风橱中进行。如溅到皮肤上立即用水冲洗，严重者立即就医。</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hint="eastAsia" w:ascii="Times New Roman" w:hAnsi="Times New Roman" w:eastAsia="黑体"/>
          <w:color w:val="auto"/>
          <w:kern w:val="0"/>
          <w:szCs w:val="20"/>
          <w:highlight w:val="none"/>
        </w:rPr>
        <w:t>一般</w:t>
      </w:r>
      <w:r>
        <w:rPr>
          <w:rFonts w:hint="eastAsia" w:ascii="Times New Roman" w:hAnsi="Times New Roman" w:eastAsia="黑体"/>
          <w:color w:val="auto"/>
          <w:kern w:val="0"/>
          <w:szCs w:val="20"/>
          <w:highlight w:val="none"/>
          <w:lang w:val="en-US" w:eastAsia="zh-CN"/>
        </w:rPr>
        <w:t>规定</w:t>
      </w:r>
    </w:p>
    <w:p>
      <w:pPr>
        <w:widowControl/>
        <w:adjustRightInd/>
        <w:spacing w:beforeLines="50" w:afterLines="50" w:line="360" w:lineRule="exact"/>
        <w:ind w:firstLine="420" w:firstLineChars="200"/>
        <w:outlineLvl w:val="1"/>
        <w:rPr>
          <w:rFonts w:hint="eastAsia" w:ascii="Times New Roman" w:hAnsi="Times New Roman"/>
          <w:color w:val="auto"/>
          <w:highlight w:val="none"/>
        </w:rPr>
      </w:pPr>
      <w:r>
        <w:rPr>
          <w:rFonts w:hint="eastAsia" w:ascii="Times New Roman" w:hAnsi="Times New Roman"/>
          <w:color w:val="auto"/>
          <w:highlight w:val="none"/>
          <w:bdr w:val="single" w:color="FFFFFF" w:sz="4" w:space="0"/>
        </w:rPr>
        <w:t>本文件试验中所用的试剂和水，当未注明其他要求时，应为分析纯试剂和GB/T 6682—2008表1中规定的三级水</w:t>
      </w:r>
      <w:r>
        <w:rPr>
          <w:rFonts w:hint="eastAsia" w:ascii="Times New Roman" w:hAnsi="Times New Roman"/>
          <w:color w:val="auto"/>
          <w:highlight w:val="none"/>
        </w:rPr>
        <w:t>。</w:t>
      </w:r>
    </w:p>
    <w:p>
      <w:pPr>
        <w:widowControl/>
        <w:adjustRightInd/>
        <w:spacing w:beforeLines="50" w:afterLines="50" w:line="360" w:lineRule="exact"/>
        <w:ind w:firstLine="420" w:firstLineChars="200"/>
        <w:outlineLvl w:val="1"/>
        <w:rPr>
          <w:rFonts w:ascii="Times New Roman" w:hAnsi="Times New Roman" w:eastAsia="黑体"/>
          <w:color w:val="auto"/>
          <w:kern w:val="0"/>
          <w:szCs w:val="20"/>
          <w:highlight w:val="none"/>
        </w:rPr>
      </w:pPr>
      <w:r>
        <w:rPr>
          <w:rFonts w:hint="eastAsia" w:ascii="Times New Roman" w:hAnsi="Times New Roman"/>
          <w:color w:val="auto"/>
          <w:highlight w:val="none"/>
        </w:rPr>
        <w:t>试验用标准滴定溶液、杂质标准溶液、制剂及制品，</w:t>
      </w:r>
      <w:r>
        <w:rPr>
          <w:rFonts w:hint="eastAsia" w:ascii="Times New Roman" w:hAnsi="Times New Roman"/>
          <w:color w:val="auto"/>
          <w:highlight w:val="none"/>
          <w:bdr w:val="single" w:color="FFFFFF" w:sz="4" w:space="0"/>
        </w:rPr>
        <w:t>当未注明</w:t>
      </w:r>
      <w:r>
        <w:rPr>
          <w:rFonts w:hint="eastAsia" w:ascii="Times New Roman" w:hAnsi="Times New Roman"/>
          <w:color w:val="auto"/>
          <w:highlight w:val="none"/>
        </w:rPr>
        <w:t>其他要求时，</w:t>
      </w:r>
      <w:r>
        <w:rPr>
          <w:rFonts w:hint="eastAsia" w:ascii="Times New Roman" w:hAnsi="Times New Roman" w:cs="宋体"/>
          <w:color w:val="auto"/>
          <w:highlight w:val="none"/>
        </w:rPr>
        <w:t>均按</w:t>
      </w:r>
      <w:r>
        <w:rPr>
          <w:rFonts w:ascii="Times New Roman" w:hAnsi="Times New Roman"/>
          <w:color w:val="auto"/>
          <w:highlight w:val="none"/>
        </w:rPr>
        <w:t>HG/T 3696.</w:t>
      </w:r>
      <w:r>
        <w:rPr>
          <w:rFonts w:hint="eastAsia" w:ascii="Times New Roman" w:hAnsi="Times New Roman"/>
          <w:color w:val="auto"/>
          <w:highlight w:val="none"/>
          <w:lang w:val="en-US" w:eastAsia="zh-CN"/>
        </w:rPr>
        <w:t>1</w:t>
      </w:r>
      <w:r>
        <w:rPr>
          <w:rFonts w:hint="eastAsia" w:ascii="Times New Roman" w:hAnsi="Times New Roman"/>
          <w:color w:val="auto"/>
          <w:highlight w:val="none"/>
          <w:lang w:eastAsia="zh-CN"/>
        </w:rPr>
        <w:t>、</w:t>
      </w:r>
      <w:r>
        <w:rPr>
          <w:rFonts w:ascii="Times New Roman" w:hAnsi="Times New Roman"/>
          <w:color w:val="auto"/>
          <w:highlight w:val="none"/>
        </w:rPr>
        <w:t>HG/T 3696.2</w:t>
      </w:r>
      <w:r>
        <w:rPr>
          <w:rFonts w:hint="eastAsia" w:ascii="Times New Roman" w:hAnsi="Times New Roman"/>
          <w:color w:val="auto"/>
          <w:highlight w:val="none"/>
        </w:rPr>
        <w:t>和</w:t>
      </w:r>
      <w:r>
        <w:rPr>
          <w:rFonts w:ascii="Times New Roman" w:hAnsi="Times New Roman"/>
          <w:color w:val="auto"/>
          <w:highlight w:val="none"/>
        </w:rPr>
        <w:t>HG/T 3696.3</w:t>
      </w:r>
      <w:r>
        <w:rPr>
          <w:rFonts w:hint="eastAsia" w:ascii="Times New Roman" w:hAnsi="Times New Roman" w:cs="宋体"/>
          <w:color w:val="auto"/>
          <w:highlight w:val="none"/>
        </w:rPr>
        <w:t>的规定制备。</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hint="eastAsia" w:ascii="Times New Roman" w:hAnsi="Times New Roman" w:eastAsia="黑体"/>
          <w:color w:val="auto"/>
          <w:kern w:val="0"/>
          <w:szCs w:val="20"/>
          <w:highlight w:val="none"/>
        </w:rPr>
        <w:t>外观检验</w:t>
      </w:r>
    </w:p>
    <w:p>
      <w:pPr>
        <w:pStyle w:val="62"/>
        <w:spacing w:line="360" w:lineRule="exact"/>
        <w:ind w:firstLine="420"/>
        <w:rPr>
          <w:rFonts w:ascii="Times New Roman"/>
          <w:color w:val="auto"/>
          <w:kern w:val="2"/>
          <w:szCs w:val="24"/>
          <w:highlight w:val="none"/>
        </w:rPr>
      </w:pPr>
      <w:r>
        <w:rPr>
          <w:rFonts w:hint="eastAsia" w:ascii="Times New Roman"/>
          <w:color w:val="auto"/>
          <w:kern w:val="2"/>
          <w:szCs w:val="24"/>
          <w:highlight w:val="none"/>
        </w:rPr>
        <w:t>在自然光下，于白色衬底的表面皿或白瓷板上用目视法判定外观。</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hint="eastAsia" w:ascii="黑体" w:hAnsi="黑体" w:eastAsia="黑体" w:cs="黑体"/>
          <w:color w:val="auto"/>
          <w:highlight w:val="none"/>
        </w:rPr>
        <w:t>钠含量、铜铁锰</w:t>
      </w:r>
      <w:r>
        <w:rPr>
          <w:rFonts w:hint="eastAsia" w:ascii="黑体" w:hAnsi="黑体" w:eastAsia="黑体" w:cs="黑体"/>
          <w:color w:val="auto"/>
          <w:highlight w:val="none"/>
          <w:lang w:val="en-US" w:eastAsia="zh-CN"/>
        </w:rPr>
        <w:t>合</w:t>
      </w:r>
      <w:r>
        <w:rPr>
          <w:rFonts w:hint="eastAsia" w:ascii="黑体" w:hAnsi="黑体" w:eastAsia="黑体" w:cs="黑体"/>
          <w:color w:val="auto"/>
          <w:highlight w:val="none"/>
        </w:rPr>
        <w:t>量的测定</w:t>
      </w:r>
    </w:p>
    <w:p>
      <w:pPr>
        <w:pStyle w:val="71"/>
        <w:spacing w:before="120" w:after="120" w:line="360" w:lineRule="exact"/>
        <w:ind w:left="0"/>
        <w:rPr>
          <w:color w:val="auto"/>
          <w:highlight w:val="none"/>
        </w:rPr>
      </w:pPr>
      <w:r>
        <w:rPr>
          <w:rFonts w:hint="eastAsia"/>
          <w:color w:val="auto"/>
          <w:highlight w:val="none"/>
        </w:rPr>
        <w:t>原理</w:t>
      </w:r>
    </w:p>
    <w:p>
      <w:pPr>
        <w:pStyle w:val="62"/>
        <w:spacing w:line="360" w:lineRule="exact"/>
        <w:ind w:firstLine="420"/>
        <w:rPr>
          <w:color w:val="auto"/>
          <w:highlight w:val="none"/>
        </w:rPr>
      </w:pPr>
      <w:r>
        <w:rPr>
          <w:rFonts w:hint="eastAsia"/>
          <w:color w:val="auto"/>
          <w:highlight w:val="none"/>
        </w:rPr>
        <w:t>试样</w:t>
      </w:r>
      <w:r>
        <w:rPr>
          <w:rFonts w:hAnsi="宋体"/>
          <w:color w:val="auto"/>
          <w:highlight w:val="none"/>
        </w:rPr>
        <w:t>溶解</w:t>
      </w:r>
      <w:r>
        <w:rPr>
          <w:rFonts w:hint="eastAsia" w:hAnsi="宋体"/>
          <w:color w:val="auto"/>
          <w:highlight w:val="none"/>
        </w:rPr>
        <w:t>后</w:t>
      </w:r>
      <w:r>
        <w:rPr>
          <w:rFonts w:hAnsi="宋体"/>
          <w:color w:val="auto"/>
          <w:highlight w:val="none"/>
        </w:rPr>
        <w:t>，</w:t>
      </w:r>
      <w:r>
        <w:rPr>
          <w:rFonts w:hint="eastAsia" w:hAnsi="宋体"/>
          <w:color w:val="auto"/>
          <w:highlight w:val="none"/>
        </w:rPr>
        <w:t>使用</w:t>
      </w:r>
      <w:r>
        <w:rPr>
          <w:rFonts w:hAnsi="宋体"/>
          <w:color w:val="auto"/>
          <w:highlight w:val="none"/>
        </w:rPr>
        <w:t>电感耦合等离子体发射光谱仪</w:t>
      </w:r>
      <w:r>
        <w:rPr>
          <w:rFonts w:hint="eastAsia" w:hAnsi="宋体"/>
          <w:color w:val="auto"/>
          <w:highlight w:val="none"/>
        </w:rPr>
        <w:t>，采用标准曲线法</w:t>
      </w:r>
      <w:r>
        <w:rPr>
          <w:rFonts w:hAnsi="宋体"/>
          <w:color w:val="auto"/>
          <w:highlight w:val="none"/>
        </w:rPr>
        <w:t>测定</w:t>
      </w:r>
      <w:r>
        <w:rPr>
          <w:rFonts w:hint="eastAsia" w:hAnsi="宋体"/>
          <w:color w:val="auto"/>
          <w:highlight w:val="none"/>
        </w:rPr>
        <w:t>试</w:t>
      </w:r>
      <w:r>
        <w:rPr>
          <w:rFonts w:hAnsi="宋体"/>
          <w:color w:val="auto"/>
          <w:highlight w:val="none"/>
        </w:rPr>
        <w:t>样中的</w:t>
      </w:r>
      <w:r>
        <w:rPr>
          <w:rFonts w:hint="eastAsia" w:hAnsi="宋体"/>
          <w:color w:val="auto"/>
          <w:highlight w:val="none"/>
        </w:rPr>
        <w:t>钠含量、</w:t>
      </w:r>
      <w:r>
        <w:rPr>
          <w:rFonts w:hint="eastAsia"/>
          <w:color w:val="auto"/>
          <w:highlight w:val="none"/>
          <w:lang w:eastAsia="zh-CN"/>
        </w:rPr>
        <w:t>铜铁锰合量</w:t>
      </w:r>
      <w:r>
        <w:rPr>
          <w:rFonts w:hint="eastAsia"/>
          <w:color w:val="auto"/>
          <w:highlight w:val="none"/>
        </w:rPr>
        <w:t>。</w:t>
      </w:r>
    </w:p>
    <w:p>
      <w:pPr>
        <w:pStyle w:val="71"/>
        <w:spacing w:before="120" w:after="120" w:line="360" w:lineRule="exact"/>
        <w:ind w:left="0"/>
        <w:rPr>
          <w:color w:val="auto"/>
          <w:highlight w:val="none"/>
        </w:rPr>
      </w:pPr>
      <w:r>
        <w:rPr>
          <w:rFonts w:hint="eastAsia"/>
          <w:color w:val="auto"/>
          <w:highlight w:val="none"/>
        </w:rPr>
        <w:t>试剂或材料</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lang w:val="en-US" w:eastAsia="zh-CN"/>
        </w:rPr>
        <w:t>王水</w:t>
      </w:r>
      <w:r>
        <w:rPr>
          <w:rFonts w:ascii="Times New Roman" w:hAnsi="Times New Roman"/>
          <w:color w:val="auto"/>
          <w:kern w:val="0"/>
          <w:szCs w:val="20"/>
          <w:highlight w:val="none"/>
        </w:rPr>
        <w:t>。</w:t>
      </w:r>
    </w:p>
    <w:p>
      <w:pPr>
        <w:pStyle w:val="236"/>
        <w:spacing w:line="360" w:lineRule="exact"/>
        <w:rPr>
          <w:rFonts w:hint="eastAsia"/>
          <w:color w:val="auto"/>
          <w:highlight w:val="none"/>
        </w:rPr>
      </w:pPr>
      <w:r>
        <w:rPr>
          <w:rFonts w:hint="eastAsia"/>
          <w:color w:val="auto"/>
          <w:highlight w:val="none"/>
        </w:rPr>
        <w:t>使用优级纯</w:t>
      </w:r>
      <w:r>
        <w:rPr>
          <w:rFonts w:hint="eastAsia"/>
          <w:color w:val="auto"/>
          <w:highlight w:val="none"/>
          <w:lang w:val="en-US" w:eastAsia="zh-CN"/>
        </w:rPr>
        <w:t>试剂</w:t>
      </w:r>
      <w:r>
        <w:rPr>
          <w:rFonts w:hint="eastAsia"/>
          <w:color w:val="auto"/>
          <w:highlight w:val="none"/>
        </w:rPr>
        <w:t>配制。</w:t>
      </w:r>
    </w:p>
    <w:p>
      <w:pPr>
        <w:widowControl/>
        <w:numPr>
          <w:ilvl w:val="4"/>
          <w:numId w:val="2"/>
        </w:numPr>
        <w:adjustRightInd/>
        <w:spacing w:line="360" w:lineRule="exact"/>
        <w:outlineLvl w:val="3"/>
        <w:rPr>
          <w:rFonts w:hint="eastAsia" w:ascii="Times New Roman" w:hAnsi="Times New Roman"/>
          <w:color w:val="auto"/>
          <w:kern w:val="0"/>
          <w:szCs w:val="20"/>
          <w:highlight w:val="none"/>
          <w:lang w:val="en-US" w:eastAsia="zh-CN"/>
        </w:rPr>
      </w:pPr>
      <w:r>
        <w:rPr>
          <w:rFonts w:hint="eastAsia" w:ascii="Times New Roman" w:hAnsi="Times New Roman"/>
          <w:color w:val="auto"/>
          <w:kern w:val="0"/>
          <w:szCs w:val="20"/>
          <w:highlight w:val="none"/>
          <w:lang w:val="en-US" w:eastAsia="zh-CN"/>
        </w:rPr>
        <w:t>盐酸溶液：1+1。</w:t>
      </w:r>
    </w:p>
    <w:p>
      <w:pPr>
        <w:pStyle w:val="236"/>
        <w:spacing w:line="360" w:lineRule="exact"/>
        <w:rPr>
          <w:color w:val="auto"/>
          <w:highlight w:val="none"/>
        </w:rPr>
      </w:pPr>
      <w:r>
        <w:rPr>
          <w:rFonts w:hint="eastAsia"/>
          <w:color w:val="auto"/>
          <w:highlight w:val="none"/>
        </w:rPr>
        <w:t>使用优级纯</w:t>
      </w:r>
      <w:r>
        <w:rPr>
          <w:rFonts w:hint="eastAsia"/>
          <w:color w:val="auto"/>
          <w:highlight w:val="none"/>
          <w:lang w:val="en-US" w:eastAsia="zh-CN"/>
        </w:rPr>
        <w:t>试剂</w:t>
      </w:r>
      <w:r>
        <w:rPr>
          <w:rFonts w:hint="eastAsia"/>
          <w:color w:val="auto"/>
          <w:highlight w:val="none"/>
        </w:rPr>
        <w:t>配制。</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钠</w:t>
      </w:r>
      <w:r>
        <w:rPr>
          <w:rFonts w:hint="eastAsia" w:ascii="Times New Roman" w:hAnsi="Times New Roman"/>
          <w:color w:val="auto"/>
          <w:kern w:val="0"/>
          <w:szCs w:val="20"/>
          <w:highlight w:val="none"/>
          <w:lang w:eastAsia="zh-CN"/>
        </w:rPr>
        <w:t>、</w:t>
      </w:r>
      <w:r>
        <w:rPr>
          <w:rFonts w:hint="eastAsia" w:ascii="Times New Roman" w:hAnsi="Times New Roman"/>
          <w:color w:val="auto"/>
          <w:kern w:val="0"/>
          <w:szCs w:val="20"/>
          <w:highlight w:val="none"/>
        </w:rPr>
        <w:t>铜、铁、锰混合标准溶液：</w:t>
      </w:r>
      <w:r>
        <w:rPr>
          <w:rFonts w:ascii="Times New Roman" w:hAnsi="Times New Roman"/>
          <w:color w:val="auto"/>
          <w:kern w:val="0"/>
          <w:szCs w:val="20"/>
          <w:highlight w:val="none"/>
        </w:rPr>
        <w:t>1 mL</w:t>
      </w:r>
      <w:r>
        <w:rPr>
          <w:rFonts w:hint="eastAsia" w:ascii="Times New Roman" w:hAnsi="Times New Roman"/>
          <w:color w:val="auto"/>
          <w:kern w:val="0"/>
          <w:szCs w:val="20"/>
          <w:highlight w:val="none"/>
        </w:rPr>
        <w:t>溶液含钠</w:t>
      </w:r>
      <w:r>
        <w:rPr>
          <w:rFonts w:hint="eastAsia" w:ascii="Times New Roman" w:hAnsi="Times New Roman"/>
          <w:color w:val="auto"/>
          <w:kern w:val="0"/>
          <w:szCs w:val="20"/>
          <w:highlight w:val="none"/>
          <w:lang w:eastAsia="zh-CN"/>
        </w:rPr>
        <w:t>（</w:t>
      </w:r>
      <w:r>
        <w:rPr>
          <w:rFonts w:hint="eastAsia" w:ascii="Times New Roman" w:hAnsi="Times New Roman"/>
          <w:color w:val="auto"/>
          <w:kern w:val="0"/>
          <w:szCs w:val="20"/>
          <w:highlight w:val="none"/>
          <w:lang w:val="en-US" w:eastAsia="zh-CN"/>
        </w:rPr>
        <w:t>Na</w:t>
      </w:r>
      <w:r>
        <w:rPr>
          <w:rFonts w:hint="eastAsia" w:ascii="Times New Roman" w:hAnsi="Times New Roman"/>
          <w:color w:val="auto"/>
          <w:kern w:val="0"/>
          <w:szCs w:val="20"/>
          <w:highlight w:val="none"/>
          <w:lang w:eastAsia="zh-CN"/>
        </w:rPr>
        <w:t>）、</w:t>
      </w:r>
      <w:r>
        <w:rPr>
          <w:rFonts w:hint="eastAsia" w:ascii="Times New Roman" w:hAnsi="Times New Roman"/>
          <w:color w:val="auto"/>
          <w:kern w:val="0"/>
          <w:szCs w:val="20"/>
          <w:highlight w:val="none"/>
        </w:rPr>
        <w:t>铜（Cu）、铁（Fe）、锰（Mn）各0.1</w:t>
      </w:r>
      <w:r>
        <w:rPr>
          <w:rFonts w:ascii="Times New Roman" w:hAnsi="Times New Roman"/>
          <w:color w:val="auto"/>
          <w:kern w:val="0"/>
          <w:szCs w:val="20"/>
          <w:highlight w:val="none"/>
        </w:rPr>
        <w:t xml:space="preserve"> </w:t>
      </w:r>
      <w:r>
        <w:rPr>
          <w:rFonts w:hint="eastAsia" w:ascii="Times New Roman" w:hAnsi="Times New Roman"/>
          <w:color w:val="auto"/>
          <w:kern w:val="0"/>
          <w:szCs w:val="20"/>
          <w:highlight w:val="none"/>
        </w:rPr>
        <w:t>m</w:t>
      </w:r>
      <w:r>
        <w:rPr>
          <w:rFonts w:ascii="Times New Roman" w:hAnsi="Times New Roman"/>
          <w:color w:val="auto"/>
          <w:kern w:val="0"/>
          <w:szCs w:val="20"/>
          <w:highlight w:val="none"/>
        </w:rPr>
        <w:t>g</w:t>
      </w:r>
      <w:r>
        <w:rPr>
          <w:rFonts w:hint="eastAsia" w:ascii="Times New Roman" w:hAnsi="Times New Roman"/>
          <w:color w:val="auto"/>
          <w:kern w:val="0"/>
          <w:szCs w:val="20"/>
          <w:highlight w:val="none"/>
        </w:rPr>
        <w:t>。</w:t>
      </w:r>
    </w:p>
    <w:p>
      <w:pPr>
        <w:widowControl/>
        <w:adjustRightInd/>
        <w:spacing w:line="360" w:lineRule="exact"/>
        <w:ind w:firstLine="420" w:firstLineChars="200"/>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lang w:val="en-US" w:eastAsia="zh-CN"/>
        </w:rPr>
        <w:t>分别</w:t>
      </w:r>
      <w:r>
        <w:rPr>
          <w:rFonts w:ascii="Times New Roman" w:hAnsi="Times New Roman"/>
          <w:color w:val="auto"/>
          <w:kern w:val="0"/>
          <w:szCs w:val="20"/>
          <w:highlight w:val="none"/>
        </w:rPr>
        <w:t>移取10.00 mL</w:t>
      </w:r>
      <w:r>
        <w:rPr>
          <w:rFonts w:hint="eastAsia" w:ascii="Times New Roman" w:hAnsi="Times New Roman"/>
          <w:color w:val="auto"/>
          <w:kern w:val="0"/>
          <w:szCs w:val="20"/>
          <w:highlight w:val="none"/>
        </w:rPr>
        <w:t>按</w:t>
      </w:r>
      <w:r>
        <w:rPr>
          <w:rFonts w:ascii="Times New Roman" w:hAnsi="Times New Roman"/>
          <w:color w:val="auto"/>
          <w:highlight w:val="none"/>
        </w:rPr>
        <w:t>HG/T 3696.2</w:t>
      </w:r>
      <w:r>
        <w:rPr>
          <w:rFonts w:hint="eastAsia" w:ascii="Times New Roman" w:hAnsi="Times New Roman"/>
          <w:color w:val="auto"/>
          <w:highlight w:val="none"/>
        </w:rPr>
        <w:t>配制（或市售）</w:t>
      </w:r>
      <w:r>
        <w:rPr>
          <w:rFonts w:hint="eastAsia" w:ascii="Times New Roman" w:hAnsi="Times New Roman"/>
          <w:color w:val="auto"/>
          <w:kern w:val="0"/>
          <w:szCs w:val="20"/>
          <w:highlight w:val="none"/>
        </w:rPr>
        <w:t>钠</w:t>
      </w:r>
      <w:r>
        <w:rPr>
          <w:rFonts w:ascii="Times New Roman" w:hAnsi="Times New Roman"/>
          <w:color w:val="auto"/>
          <w:kern w:val="0"/>
          <w:szCs w:val="20"/>
          <w:highlight w:val="none"/>
        </w:rPr>
        <w:t>标准</w:t>
      </w:r>
      <w:r>
        <w:rPr>
          <w:rFonts w:hint="eastAsia" w:ascii="Times New Roman" w:hAnsi="Times New Roman"/>
          <w:color w:val="auto"/>
          <w:kern w:val="0"/>
          <w:szCs w:val="20"/>
          <w:highlight w:val="none"/>
        </w:rPr>
        <w:t>贮备</w:t>
      </w:r>
      <w:r>
        <w:rPr>
          <w:rFonts w:ascii="Times New Roman" w:hAnsi="Times New Roman"/>
          <w:color w:val="auto"/>
          <w:kern w:val="0"/>
          <w:szCs w:val="20"/>
          <w:highlight w:val="none"/>
        </w:rPr>
        <w:t>溶液</w:t>
      </w:r>
      <w:r>
        <w:rPr>
          <w:rFonts w:hint="eastAsia" w:ascii="Times New Roman" w:hAnsi="Times New Roman"/>
          <w:color w:val="auto"/>
          <w:kern w:val="0"/>
          <w:szCs w:val="20"/>
          <w:highlight w:val="none"/>
          <w:lang w:eastAsia="zh-CN"/>
        </w:rPr>
        <w:t>、</w:t>
      </w:r>
      <w:r>
        <w:rPr>
          <w:rFonts w:hint="eastAsia" w:ascii="Times New Roman" w:hAnsi="Times New Roman"/>
          <w:color w:val="auto"/>
          <w:kern w:val="0"/>
          <w:szCs w:val="20"/>
          <w:highlight w:val="none"/>
        </w:rPr>
        <w:t>铜标准贮备溶液、铁标准贮备溶液和锰标准贮备溶液</w:t>
      </w:r>
      <w:r>
        <w:rPr>
          <w:rFonts w:ascii="Times New Roman" w:hAnsi="Times New Roman"/>
          <w:color w:val="auto"/>
          <w:kern w:val="0"/>
          <w:szCs w:val="20"/>
          <w:highlight w:val="none"/>
        </w:rPr>
        <w:t>（</w:t>
      </w:r>
      <w:r>
        <w:rPr>
          <w:rFonts w:hint="eastAsia" w:hAnsi="宋体"/>
          <w:color w:val="auto"/>
          <w:highlight w:val="none"/>
        </w:rPr>
        <w:t>质量浓度分别为</w:t>
      </w:r>
      <w:r>
        <w:rPr>
          <w:rFonts w:hint="eastAsia" w:ascii="Times New Roman" w:hAnsi="Times New Roman"/>
          <w:color w:val="auto"/>
          <w:kern w:val="0"/>
          <w:szCs w:val="20"/>
          <w:highlight w:val="none"/>
        </w:rPr>
        <w:t>1 mg/mL</w:t>
      </w:r>
      <w:r>
        <w:rPr>
          <w:rFonts w:ascii="Times New Roman" w:hAnsi="Times New Roman"/>
          <w:color w:val="auto"/>
          <w:kern w:val="0"/>
          <w:szCs w:val="20"/>
          <w:highlight w:val="none"/>
        </w:rPr>
        <w:t>）</w:t>
      </w:r>
      <w:r>
        <w:rPr>
          <w:rFonts w:hint="eastAsia" w:ascii="Times New Roman" w:hAnsi="Times New Roman"/>
          <w:color w:val="auto"/>
          <w:kern w:val="0"/>
          <w:szCs w:val="20"/>
          <w:highlight w:val="none"/>
        </w:rPr>
        <w:t>，置于同一</w:t>
      </w:r>
      <w:r>
        <w:rPr>
          <w:rFonts w:ascii="Times New Roman" w:hAnsi="Times New Roman"/>
          <w:color w:val="auto"/>
          <w:kern w:val="0"/>
          <w:szCs w:val="20"/>
          <w:highlight w:val="none"/>
        </w:rPr>
        <w:t>100 mL</w:t>
      </w:r>
      <w:r>
        <w:rPr>
          <w:rFonts w:hint="eastAsia" w:ascii="Times New Roman" w:hAnsi="Times New Roman"/>
          <w:color w:val="auto"/>
          <w:kern w:val="0"/>
          <w:szCs w:val="20"/>
          <w:highlight w:val="none"/>
        </w:rPr>
        <w:t>容量瓶中，加5</w:t>
      </w:r>
      <w:r>
        <w:rPr>
          <w:rFonts w:ascii="Times New Roman" w:hAnsi="Times New Roman"/>
          <w:color w:val="auto"/>
          <w:kern w:val="0"/>
          <w:szCs w:val="20"/>
          <w:highlight w:val="none"/>
        </w:rPr>
        <w:t xml:space="preserve"> mL</w:t>
      </w:r>
      <w:r>
        <w:rPr>
          <w:rFonts w:hint="eastAsia" w:ascii="Times New Roman" w:hAnsi="Times New Roman"/>
          <w:color w:val="auto"/>
          <w:kern w:val="0"/>
          <w:szCs w:val="20"/>
          <w:highlight w:val="none"/>
        </w:rPr>
        <w:t>盐酸溶液（1+1），用水稀释至刻度，摇匀。</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水：符合GB/T 6682规定的二级水。</w:t>
      </w:r>
    </w:p>
    <w:p>
      <w:pPr>
        <w:pStyle w:val="71"/>
        <w:spacing w:before="120" w:after="120" w:line="360" w:lineRule="exact"/>
        <w:ind w:left="0"/>
        <w:rPr>
          <w:color w:val="auto"/>
          <w:highlight w:val="none"/>
        </w:rPr>
      </w:pPr>
      <w:r>
        <w:rPr>
          <w:rFonts w:hint="eastAsia"/>
          <w:color w:val="auto"/>
          <w:highlight w:val="none"/>
        </w:rPr>
        <w:t>仪器设备</w:t>
      </w:r>
    </w:p>
    <w:p>
      <w:pPr>
        <w:widowControl/>
        <w:numPr>
          <w:ilvl w:val="4"/>
          <w:numId w:val="2"/>
        </w:numPr>
        <w:adjustRightInd/>
        <w:spacing w:line="360" w:lineRule="exact"/>
        <w:ind w:firstLine="0" w:firstLineChars="0"/>
        <w:outlineLvl w:val="3"/>
        <w:rPr>
          <w:rFonts w:hint="eastAsia" w:ascii="Times New Roman" w:hAnsi="Times New Roman"/>
          <w:color w:val="auto"/>
          <w:kern w:val="0"/>
          <w:szCs w:val="20"/>
          <w:highlight w:val="none"/>
        </w:rPr>
      </w:pPr>
      <w:r>
        <w:rPr>
          <w:rFonts w:hint="eastAsia" w:ascii="Times New Roman" w:hAnsi="Times New Roman"/>
          <w:color w:val="auto"/>
          <w:kern w:val="0"/>
          <w:szCs w:val="20"/>
          <w:highlight w:val="none"/>
        </w:rPr>
        <w:t>电感耦合等离子体原子发射光谱仪（ICP-OES）。</w:t>
      </w:r>
    </w:p>
    <w:p>
      <w:pPr>
        <w:widowControl/>
        <w:numPr>
          <w:ilvl w:val="4"/>
          <w:numId w:val="2"/>
        </w:numPr>
        <w:adjustRightInd/>
        <w:spacing w:line="360" w:lineRule="exact"/>
        <w:ind w:firstLine="0" w:firstLineChars="0"/>
        <w:outlineLvl w:val="3"/>
        <w:rPr>
          <w:rFonts w:hint="eastAsia" w:ascii="Times New Roman" w:hAnsi="Times New Roman" w:eastAsia="宋体"/>
          <w:color w:val="auto"/>
          <w:kern w:val="0"/>
          <w:szCs w:val="20"/>
          <w:highlight w:val="none"/>
          <w:lang w:val="en-US" w:eastAsia="zh-CN"/>
        </w:rPr>
      </w:pPr>
      <w:r>
        <w:rPr>
          <w:rFonts w:hint="eastAsia" w:ascii="Times New Roman" w:hAnsi="Times New Roman"/>
          <w:color w:val="auto"/>
          <w:kern w:val="0"/>
          <w:szCs w:val="20"/>
          <w:highlight w:val="none"/>
          <w:lang w:val="en-US" w:eastAsia="zh-CN"/>
        </w:rPr>
        <w:t>真空干燥箱。</w:t>
      </w:r>
    </w:p>
    <w:p>
      <w:pPr>
        <w:pStyle w:val="71"/>
        <w:spacing w:before="120" w:after="120" w:line="360" w:lineRule="exact"/>
        <w:ind w:left="0"/>
        <w:rPr>
          <w:color w:val="auto"/>
          <w:highlight w:val="none"/>
        </w:rPr>
      </w:pPr>
      <w:r>
        <w:rPr>
          <w:rFonts w:hint="eastAsia"/>
          <w:color w:val="auto"/>
          <w:highlight w:val="none"/>
        </w:rPr>
        <w:t>试验步骤</w:t>
      </w:r>
    </w:p>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试验溶液A的制备</w:t>
      </w:r>
    </w:p>
    <w:p>
      <w:pPr>
        <w:pStyle w:val="219"/>
        <w:keepNext w:val="0"/>
        <w:keepLines w:val="0"/>
        <w:pageBreakBefore w:val="0"/>
        <w:widowControl w:val="0"/>
        <w:numPr>
          <w:ilvl w:val="3"/>
          <w:numId w:val="0"/>
        </w:numPr>
        <w:kinsoku/>
        <w:wordWrap/>
        <w:overflowPunct/>
        <w:topLinePunct w:val="0"/>
        <w:autoSpaceDE/>
        <w:autoSpaceDN/>
        <w:bidi w:val="0"/>
        <w:adjustRightInd/>
        <w:snapToGrid/>
        <w:spacing w:line="360" w:lineRule="exact"/>
        <w:ind w:firstLine="420" w:firstLineChars="200"/>
        <w:textAlignment w:val="auto"/>
        <w:rPr>
          <w:rFonts w:ascii="Times New Roman"/>
          <w:color w:val="auto"/>
          <w:highlight w:val="none"/>
        </w:rPr>
      </w:pPr>
      <w:r>
        <w:rPr>
          <w:rFonts w:hint="eastAsia" w:ascii="Times New Roman"/>
          <w:color w:val="auto"/>
          <w:highlight w:val="none"/>
        </w:rPr>
        <w:t>称取约</w:t>
      </w:r>
      <w:r>
        <w:rPr>
          <w:rFonts w:hint="eastAsia" w:ascii="Times New Roman"/>
          <w:color w:val="auto"/>
          <w:highlight w:val="none"/>
          <w:lang w:val="en-US" w:eastAsia="zh-CN"/>
        </w:rPr>
        <w:t>0.2</w:t>
      </w:r>
      <w:r>
        <w:rPr>
          <w:rFonts w:hint="eastAsia" w:ascii="Times New Roman"/>
          <w:color w:val="auto"/>
          <w:highlight w:val="none"/>
        </w:rPr>
        <w:t xml:space="preserve"> g预先于</w:t>
      </w:r>
      <w:r>
        <w:rPr>
          <w:rFonts w:hint="eastAsia" w:ascii="Times New Roman"/>
          <w:color w:val="auto"/>
          <w:kern w:val="2"/>
          <w:szCs w:val="24"/>
          <w:highlight w:val="none"/>
        </w:rPr>
        <w:t>真空度为85 Kpa、温度为110 ℃±2 ℃的真空干燥箱中干燥不少于2 h的试样</w:t>
      </w:r>
      <w:r>
        <w:rPr>
          <w:rFonts w:hint="eastAsia" w:ascii="Times New Roman"/>
          <w:color w:val="auto"/>
          <w:highlight w:val="none"/>
        </w:rPr>
        <w:t>（精确至0.0002 g）。置于100 mL烧杯中，用少量水润湿，缓慢加</w:t>
      </w:r>
      <w:r>
        <w:rPr>
          <w:rFonts w:hint="eastAsia" w:ascii="Times New Roman"/>
          <w:color w:val="auto"/>
          <w:highlight w:val="none"/>
          <w:lang w:val="en-US" w:eastAsia="zh-CN"/>
        </w:rPr>
        <w:t>1</w:t>
      </w:r>
      <w:r>
        <w:rPr>
          <w:rFonts w:hint="eastAsia" w:ascii="Times New Roman"/>
          <w:color w:val="auto"/>
          <w:highlight w:val="none"/>
        </w:rPr>
        <w:t>0 mL</w:t>
      </w:r>
      <w:r>
        <w:rPr>
          <w:rFonts w:hint="eastAsia" w:ascii="Times New Roman"/>
          <w:color w:val="auto"/>
          <w:highlight w:val="none"/>
          <w:lang w:val="en-US" w:eastAsia="zh-CN"/>
        </w:rPr>
        <w:t>王水</w:t>
      </w:r>
      <w:r>
        <w:rPr>
          <w:rFonts w:hint="eastAsia" w:ascii="Times New Roman"/>
          <w:color w:val="auto"/>
          <w:highlight w:val="none"/>
        </w:rPr>
        <w:t>，</w:t>
      </w:r>
      <w:bookmarkStart w:id="37" w:name="_Hlk162965782"/>
      <w:r>
        <w:rPr>
          <w:rFonts w:hint="eastAsia" w:ascii="Times New Roman"/>
          <w:color w:val="auto"/>
          <w:highlight w:val="none"/>
        </w:rPr>
        <w:t>盖上表面皿，低温加热至试样完全溶解。</w:t>
      </w:r>
      <w:bookmarkEnd w:id="37"/>
      <w:r>
        <w:rPr>
          <w:rFonts w:hint="eastAsia" w:ascii="Times New Roman"/>
          <w:color w:val="auto"/>
          <w:highlight w:val="none"/>
        </w:rPr>
        <w:t>冷却后移入</w:t>
      </w:r>
      <w:r>
        <w:rPr>
          <w:rFonts w:hint="eastAsia" w:ascii="Times New Roman"/>
          <w:color w:val="auto"/>
          <w:highlight w:val="none"/>
          <w:lang w:val="en-US" w:eastAsia="zh-CN"/>
        </w:rPr>
        <w:t>10</w:t>
      </w:r>
      <w:r>
        <w:rPr>
          <w:rFonts w:hint="eastAsia" w:ascii="Times New Roman"/>
          <w:color w:val="auto"/>
          <w:highlight w:val="none"/>
        </w:rPr>
        <w:t>0 mL容量瓶中，用水稀释至刻度，摇匀。此溶液为试验溶液A，用于钠含量、</w:t>
      </w:r>
      <w:r>
        <w:rPr>
          <w:rFonts w:hint="eastAsia" w:ascii="Times New Roman"/>
          <w:color w:val="auto"/>
          <w:highlight w:val="none"/>
          <w:lang w:eastAsia="zh-CN"/>
        </w:rPr>
        <w:t>铜铁锰合量</w:t>
      </w:r>
      <w:r>
        <w:rPr>
          <w:rFonts w:hint="eastAsia" w:ascii="Times New Roman"/>
          <w:color w:val="auto"/>
          <w:highlight w:val="none"/>
        </w:rPr>
        <w:t>、钙含量、镉含量、铬含量、镁含量、铅含量、硅含量、硫含量和锌含量的测定。</w:t>
      </w:r>
    </w:p>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空白试验溶液A的制备</w:t>
      </w:r>
    </w:p>
    <w:p>
      <w:pPr>
        <w:pStyle w:val="85"/>
        <w:numPr>
          <w:ilvl w:val="2"/>
          <w:numId w:val="0"/>
        </w:numPr>
        <w:spacing w:before="120" w:after="120"/>
        <w:ind w:firstLine="420" w:firstLineChars="200"/>
        <w:rPr>
          <w:rFonts w:ascii="Times New Roman" w:eastAsia="宋体"/>
          <w:color w:val="auto"/>
          <w:highlight w:val="none"/>
        </w:rPr>
      </w:pPr>
      <w:r>
        <w:rPr>
          <w:rFonts w:hint="eastAsia" w:ascii="Times New Roman" w:eastAsia="宋体"/>
          <w:color w:val="auto"/>
          <w:highlight w:val="none"/>
        </w:rPr>
        <w:t>除不加试料外，其他加入的试剂种类和量与试验溶液A完全相同，并与试验溶液A同时同样处理。</w:t>
      </w:r>
    </w:p>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标准曲线的绘制</w:t>
      </w:r>
    </w:p>
    <w:p>
      <w:pPr>
        <w:pStyle w:val="219"/>
        <w:numPr>
          <w:ilvl w:val="0"/>
          <w:numId w:val="0"/>
        </w:numPr>
        <w:ind w:firstLine="420" w:firstLineChars="200"/>
        <w:rPr>
          <w:rFonts w:hint="eastAsia" w:ascii="Times New Roman"/>
          <w:color w:val="auto"/>
          <w:highlight w:val="none"/>
        </w:rPr>
      </w:pPr>
      <w:r>
        <w:rPr>
          <w:rFonts w:hint="eastAsia" w:ascii="Times New Roman"/>
          <w:color w:val="auto"/>
          <w:highlight w:val="none"/>
        </w:rPr>
        <w:t>按表3的规定移取对应的标准溶液，分别置于2组各6个100 mL容量瓶中，分别加5 mL盐酸溶液，用水稀释至刻度，摇匀。</w:t>
      </w:r>
    </w:p>
    <w:p>
      <w:pPr>
        <w:pStyle w:val="219"/>
        <w:numPr>
          <w:ilvl w:val="0"/>
          <w:numId w:val="0"/>
        </w:numPr>
        <w:ind w:firstLine="420" w:firstLineChars="200"/>
        <w:rPr>
          <w:rFonts w:ascii="Times New Roman"/>
          <w:color w:val="auto"/>
          <w:highlight w:val="none"/>
        </w:rPr>
      </w:pPr>
      <w:r>
        <w:rPr>
          <w:rFonts w:hint="eastAsia" w:ascii="Times New Roman"/>
          <w:color w:val="auto"/>
          <w:highlight w:val="none"/>
        </w:rPr>
        <w:t>在电感耦合等离子体原子发射光谱仪上，按表4规定的分析谱线波长，</w:t>
      </w:r>
      <w:r>
        <w:rPr>
          <w:rFonts w:hint="eastAsia"/>
          <w:color w:val="auto"/>
          <w:highlight w:val="none"/>
        </w:rPr>
        <w:t>按浓度由低至高的顺序对标准系列溶液进行测</w:t>
      </w:r>
      <w:r>
        <w:rPr>
          <w:rFonts w:hint="eastAsia"/>
          <w:color w:val="auto"/>
          <w:highlight w:val="none"/>
          <w:lang w:val="en-US" w:eastAsia="zh-CN"/>
        </w:rPr>
        <w:t>量</w:t>
      </w:r>
      <w:r>
        <w:rPr>
          <w:rFonts w:hint="eastAsia" w:ascii="Times New Roman"/>
          <w:color w:val="auto"/>
          <w:highlight w:val="none"/>
        </w:rPr>
        <w:t>。从每个标准溶液的发射光谱强度减去试剂空白溶液的发射光谱强度，以待测元素的质量浓度（</w:t>
      </w:r>
      <w:r>
        <w:rPr>
          <w:rFonts w:ascii="Times New Roman"/>
          <w:color w:val="auto"/>
          <w:highlight w:val="none"/>
        </w:rPr>
        <w:t>μg/mL</w:t>
      </w:r>
      <w:r>
        <w:rPr>
          <w:rFonts w:hint="eastAsia" w:ascii="Times New Roman"/>
          <w:color w:val="auto"/>
          <w:highlight w:val="none"/>
        </w:rPr>
        <w:t>）为横坐标，对应的发射光谱强度为纵坐标绘制标准曲线。</w:t>
      </w:r>
    </w:p>
    <w:p>
      <w:pPr>
        <w:pStyle w:val="83"/>
        <w:numPr>
          <w:ilvl w:val="1"/>
          <w:numId w:val="0"/>
        </w:numPr>
        <w:spacing w:before="120" w:after="120"/>
        <w:rPr>
          <w:color w:val="auto"/>
          <w:highlight w:val="none"/>
        </w:rPr>
      </w:pPr>
      <w:r>
        <w:rPr>
          <w:rFonts w:hint="eastAsia"/>
          <w:color w:val="auto"/>
          <w:highlight w:val="none"/>
        </w:rPr>
        <w:t>表3  标准溶液移取体积</w:t>
      </w:r>
    </w:p>
    <w:tbl>
      <w:tblPr>
        <w:tblStyle w:val="32"/>
        <w:tblW w:w="9032" w:type="dxa"/>
        <w:tblInd w:w="-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1950"/>
        <w:gridCol w:w="2211"/>
        <w:gridCol w:w="724"/>
        <w:gridCol w:w="724"/>
        <w:gridCol w:w="724"/>
        <w:gridCol w:w="724"/>
        <w:gridCol w:w="724"/>
        <w:gridCol w:w="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序号</w:t>
            </w:r>
          </w:p>
        </w:tc>
        <w:tc>
          <w:tcPr>
            <w:tcW w:w="1950"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标准曲线名称</w:t>
            </w:r>
          </w:p>
        </w:tc>
        <w:tc>
          <w:tcPr>
            <w:tcW w:w="2211"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标准溶液名称</w:t>
            </w:r>
          </w:p>
        </w:tc>
        <w:tc>
          <w:tcPr>
            <w:tcW w:w="4346" w:type="dxa"/>
            <w:gridSpan w:val="6"/>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标准溶液移取体积/mL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Mar>
              <w:top w:w="0" w:type="dxa"/>
              <w:left w:w="57" w:type="dxa"/>
              <w:bottom w:w="0" w:type="dxa"/>
              <w:right w:w="57" w:type="dxa"/>
            </w:tcMar>
            <w:vAlign w:val="center"/>
          </w:tcPr>
          <w:p>
            <w:pPr>
              <w:pStyle w:val="219"/>
              <w:numPr>
                <w:ilvl w:val="0"/>
                <w:numId w:val="0"/>
              </w:numPr>
              <w:jc w:val="center"/>
              <w:rPr>
                <w:rFonts w:hAnsi="宋体" w:cs="宋体"/>
                <w:color w:val="auto"/>
                <w:kern w:val="0"/>
                <w:sz w:val="18"/>
                <w:szCs w:val="18"/>
                <w:highlight w:val="none"/>
              </w:rPr>
            </w:pPr>
            <w:r>
              <w:rPr>
                <w:rFonts w:hint="eastAsia" w:hAnsi="宋体" w:cs="宋体"/>
                <w:color w:val="auto"/>
                <w:kern w:val="0"/>
                <w:sz w:val="18"/>
                <w:szCs w:val="18"/>
                <w:highlight w:val="none"/>
              </w:rPr>
              <w:t>1</w:t>
            </w:r>
          </w:p>
        </w:tc>
        <w:tc>
          <w:tcPr>
            <w:tcW w:w="1950" w:type="dxa"/>
            <w:tcMar>
              <w:top w:w="0" w:type="dxa"/>
              <w:left w:w="57" w:type="dxa"/>
              <w:bottom w:w="0" w:type="dxa"/>
              <w:right w:w="57" w:type="dxa"/>
            </w:tcMar>
            <w:vAlign w:val="center"/>
          </w:tcPr>
          <w:p>
            <w:pPr>
              <w:pStyle w:val="219"/>
              <w:numPr>
                <w:ilvl w:val="0"/>
                <w:numId w:val="0"/>
              </w:numPr>
              <w:jc w:val="center"/>
              <w:rPr>
                <w:rFonts w:ascii="Times New Roman"/>
                <w:color w:val="auto"/>
                <w:sz w:val="18"/>
                <w:szCs w:val="18"/>
                <w:highlight w:val="none"/>
              </w:rPr>
            </w:pPr>
            <w:r>
              <w:rPr>
                <w:rFonts w:hint="eastAsia" w:hAnsi="宋体" w:cs="宋体"/>
                <w:color w:val="auto"/>
                <w:kern w:val="0"/>
                <w:sz w:val="18"/>
                <w:szCs w:val="18"/>
                <w:highlight w:val="none"/>
              </w:rPr>
              <w:t>钠标准曲线</w:t>
            </w:r>
          </w:p>
        </w:tc>
        <w:tc>
          <w:tcPr>
            <w:tcW w:w="2211" w:type="dxa"/>
            <w:tcMar>
              <w:top w:w="0" w:type="dxa"/>
              <w:left w:w="57" w:type="dxa"/>
              <w:bottom w:w="0" w:type="dxa"/>
              <w:right w:w="57" w:type="dxa"/>
            </w:tcMar>
            <w:vAlign w:val="center"/>
          </w:tcPr>
          <w:p>
            <w:pPr>
              <w:pStyle w:val="219"/>
              <w:numPr>
                <w:ilvl w:val="0"/>
                <w:numId w:val="0"/>
              </w:numPr>
              <w:jc w:val="center"/>
              <w:rPr>
                <w:rFonts w:ascii="Times New Roman"/>
                <w:color w:val="auto"/>
                <w:sz w:val="18"/>
                <w:szCs w:val="18"/>
                <w:highlight w:val="none"/>
              </w:rPr>
            </w:pPr>
            <w:r>
              <w:rPr>
                <w:rFonts w:hint="eastAsia" w:ascii="Times New Roman"/>
                <w:color w:val="auto"/>
                <w:sz w:val="18"/>
                <w:szCs w:val="18"/>
                <w:highlight w:val="none"/>
              </w:rPr>
              <w:t>钠标准溶液</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0.00</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1.00</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2.00</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5.00</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10.00</w:t>
            </w:r>
          </w:p>
        </w:tc>
        <w:tc>
          <w:tcPr>
            <w:tcW w:w="726"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Mar>
              <w:top w:w="0" w:type="dxa"/>
              <w:left w:w="57" w:type="dxa"/>
              <w:bottom w:w="0" w:type="dxa"/>
              <w:right w:w="57" w:type="dxa"/>
            </w:tcMar>
            <w:vAlign w:val="center"/>
          </w:tcPr>
          <w:p>
            <w:pPr>
              <w:pStyle w:val="219"/>
              <w:numPr>
                <w:ilvl w:val="0"/>
                <w:numId w:val="0"/>
              </w:numPr>
              <w:jc w:val="center"/>
              <w:rPr>
                <w:rFonts w:ascii="Times New Roman"/>
                <w:color w:val="auto"/>
                <w:kern w:val="0"/>
                <w:sz w:val="18"/>
                <w:szCs w:val="18"/>
                <w:highlight w:val="none"/>
              </w:rPr>
            </w:pPr>
            <w:r>
              <w:rPr>
                <w:rFonts w:hint="eastAsia" w:ascii="Times New Roman"/>
                <w:color w:val="auto"/>
                <w:kern w:val="0"/>
                <w:sz w:val="18"/>
                <w:szCs w:val="18"/>
                <w:highlight w:val="none"/>
              </w:rPr>
              <w:t>2</w:t>
            </w:r>
          </w:p>
        </w:tc>
        <w:tc>
          <w:tcPr>
            <w:tcW w:w="1950" w:type="dxa"/>
            <w:tcMar>
              <w:top w:w="0" w:type="dxa"/>
              <w:left w:w="57" w:type="dxa"/>
              <w:bottom w:w="0" w:type="dxa"/>
              <w:right w:w="57" w:type="dxa"/>
            </w:tcMar>
            <w:vAlign w:val="center"/>
          </w:tcPr>
          <w:p>
            <w:pPr>
              <w:pStyle w:val="219"/>
              <w:numPr>
                <w:ilvl w:val="0"/>
                <w:numId w:val="0"/>
              </w:numPr>
              <w:jc w:val="center"/>
              <w:rPr>
                <w:rFonts w:ascii="Times New Roman"/>
                <w:color w:val="auto"/>
                <w:sz w:val="18"/>
                <w:szCs w:val="18"/>
                <w:highlight w:val="none"/>
              </w:rPr>
            </w:pPr>
            <w:r>
              <w:rPr>
                <w:rFonts w:hint="eastAsia" w:ascii="Times New Roman"/>
                <w:color w:val="auto"/>
                <w:kern w:val="0"/>
                <w:sz w:val="18"/>
                <w:szCs w:val="18"/>
                <w:highlight w:val="none"/>
              </w:rPr>
              <w:t>铜、铁、锰标准曲线</w:t>
            </w:r>
          </w:p>
        </w:tc>
        <w:tc>
          <w:tcPr>
            <w:tcW w:w="2211" w:type="dxa"/>
            <w:tcMar>
              <w:top w:w="0" w:type="dxa"/>
              <w:left w:w="57" w:type="dxa"/>
              <w:bottom w:w="0" w:type="dxa"/>
              <w:right w:w="57" w:type="dxa"/>
            </w:tcMar>
            <w:vAlign w:val="center"/>
          </w:tcPr>
          <w:p>
            <w:pPr>
              <w:pStyle w:val="219"/>
              <w:numPr>
                <w:ilvl w:val="0"/>
                <w:numId w:val="0"/>
              </w:numPr>
              <w:jc w:val="center"/>
              <w:rPr>
                <w:rFonts w:ascii="Times New Roman"/>
                <w:color w:val="auto"/>
                <w:sz w:val="18"/>
                <w:szCs w:val="18"/>
                <w:highlight w:val="none"/>
              </w:rPr>
            </w:pPr>
            <w:r>
              <w:rPr>
                <w:rFonts w:hint="eastAsia" w:ascii="Times New Roman"/>
                <w:color w:val="auto"/>
                <w:kern w:val="0"/>
                <w:sz w:val="18"/>
                <w:szCs w:val="18"/>
                <w:highlight w:val="none"/>
              </w:rPr>
              <w:t>铜、铁、锰混合标准溶液</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0.00</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1.00</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2.00</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5.00</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10.00</w:t>
            </w:r>
          </w:p>
        </w:tc>
        <w:tc>
          <w:tcPr>
            <w:tcW w:w="726"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15.00</w:t>
            </w:r>
          </w:p>
        </w:tc>
      </w:tr>
    </w:tbl>
    <w:p>
      <w:pPr>
        <w:pStyle w:val="83"/>
        <w:numPr>
          <w:ilvl w:val="1"/>
          <w:numId w:val="0"/>
        </w:numPr>
        <w:spacing w:before="120" w:after="120"/>
        <w:rPr>
          <w:color w:val="auto"/>
          <w:highlight w:val="none"/>
        </w:rPr>
      </w:pPr>
      <w:r>
        <w:rPr>
          <w:rFonts w:hint="eastAsia"/>
          <w:color w:val="auto"/>
          <w:highlight w:val="none"/>
        </w:rPr>
        <w:t>表4  元素分析谱线</w:t>
      </w:r>
    </w:p>
    <w:tbl>
      <w:tblPr>
        <w:tblStyle w:val="3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9"/>
        <w:gridCol w:w="1800"/>
        <w:gridCol w:w="1800"/>
        <w:gridCol w:w="1800"/>
        <w:gridCol w:w="1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ascii="Times New Roman" w:hAnsi="Times New Roman"/>
                <w:color w:val="auto"/>
                <w:sz w:val="18"/>
                <w:szCs w:val="18"/>
                <w:highlight w:val="none"/>
              </w:rPr>
              <w:t>元素</w:t>
            </w:r>
          </w:p>
        </w:tc>
        <w:tc>
          <w:tcPr>
            <w:tcW w:w="180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ascii="Times New Roman" w:hAnsi="Times New Roman"/>
                <w:color w:val="auto"/>
                <w:sz w:val="18"/>
                <w:szCs w:val="18"/>
                <w:highlight w:val="none"/>
              </w:rPr>
              <w:t>Na</w:t>
            </w:r>
          </w:p>
        </w:tc>
        <w:tc>
          <w:tcPr>
            <w:tcW w:w="180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hint="eastAsia" w:ascii="Times New Roman" w:hAnsi="Times New Roman"/>
                <w:color w:val="auto"/>
                <w:sz w:val="18"/>
                <w:szCs w:val="18"/>
                <w:highlight w:val="none"/>
              </w:rPr>
              <w:t>Cu</w:t>
            </w:r>
          </w:p>
        </w:tc>
        <w:tc>
          <w:tcPr>
            <w:tcW w:w="1800"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hint="eastAsia" w:ascii="Times New Roman" w:hAnsi="Times New Roman"/>
                <w:color w:val="auto"/>
                <w:sz w:val="18"/>
                <w:szCs w:val="18"/>
                <w:highlight w:val="none"/>
              </w:rPr>
              <w:t>Fe</w:t>
            </w:r>
          </w:p>
        </w:tc>
        <w:tc>
          <w:tcPr>
            <w:tcW w:w="180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hint="eastAsia" w:ascii="Times New Roman" w:hAnsi="Times New Roman"/>
                <w:color w:val="auto"/>
                <w:sz w:val="18"/>
                <w:szCs w:val="18"/>
                <w:highlight w:val="none"/>
              </w:rPr>
              <w:t>Mn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hint="eastAsia" w:ascii="Times New Roman" w:hAnsi="Times New Roman"/>
                <w:color w:val="auto"/>
                <w:sz w:val="18"/>
                <w:szCs w:val="18"/>
                <w:highlight w:val="none"/>
              </w:rPr>
              <w:t>分析谱线波长</w:t>
            </w:r>
            <w:r>
              <w:rPr>
                <w:rFonts w:ascii="Times New Roman" w:hAnsi="Times New Roman"/>
                <w:color w:val="auto"/>
                <w:sz w:val="18"/>
                <w:szCs w:val="18"/>
                <w:highlight w:val="none"/>
              </w:rPr>
              <w:t>/nm</w:t>
            </w:r>
          </w:p>
        </w:tc>
        <w:tc>
          <w:tcPr>
            <w:tcW w:w="180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ascii="Times New Roman" w:hAnsi="Times New Roman"/>
                <w:color w:val="auto"/>
                <w:sz w:val="18"/>
                <w:szCs w:val="18"/>
                <w:highlight w:val="none"/>
              </w:rPr>
              <w:t>589.592</w:t>
            </w:r>
          </w:p>
        </w:tc>
        <w:tc>
          <w:tcPr>
            <w:tcW w:w="180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hint="eastAsia" w:ascii="Times New Roman" w:hAnsi="Times New Roman"/>
                <w:color w:val="auto"/>
                <w:sz w:val="18"/>
                <w:szCs w:val="18"/>
                <w:highlight w:val="none"/>
              </w:rPr>
              <w:t>327.393</w:t>
            </w:r>
          </w:p>
        </w:tc>
        <w:tc>
          <w:tcPr>
            <w:tcW w:w="1800"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hint="eastAsia" w:ascii="Times New Roman" w:hAnsi="Times New Roman"/>
                <w:color w:val="auto"/>
                <w:sz w:val="18"/>
                <w:szCs w:val="18"/>
                <w:highlight w:val="none"/>
              </w:rPr>
              <w:t>259.940</w:t>
            </w:r>
          </w:p>
        </w:tc>
        <w:tc>
          <w:tcPr>
            <w:tcW w:w="180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hint="eastAsia" w:ascii="Times New Roman" w:hAnsi="Times New Roman"/>
                <w:color w:val="auto"/>
                <w:sz w:val="18"/>
                <w:szCs w:val="18"/>
                <w:highlight w:val="none"/>
              </w:rPr>
              <w:t>257.610</w:t>
            </w:r>
          </w:p>
        </w:tc>
      </w:tr>
    </w:tbl>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试验</w:t>
      </w:r>
    </w:p>
    <w:p>
      <w:pPr>
        <w:pStyle w:val="219"/>
        <w:numPr>
          <w:ilvl w:val="3"/>
          <w:numId w:val="0"/>
        </w:numPr>
        <w:ind w:firstLine="420" w:firstLineChars="200"/>
        <w:rPr>
          <w:rFonts w:ascii="Times New Roman"/>
          <w:color w:val="auto"/>
          <w:highlight w:val="none"/>
        </w:rPr>
      </w:pPr>
      <w:r>
        <w:rPr>
          <w:rFonts w:hint="eastAsia" w:ascii="Times New Roman"/>
          <w:color w:val="auto"/>
          <w:highlight w:val="none"/>
        </w:rPr>
        <w:t>移取5.00 mL试验溶液A和</w:t>
      </w:r>
      <w:r>
        <w:rPr>
          <w:rFonts w:ascii="Times New Roman"/>
          <w:color w:val="auto"/>
          <w:highlight w:val="none"/>
        </w:rPr>
        <w:t>空白试验溶液A</w:t>
      </w:r>
      <w:r>
        <w:rPr>
          <w:rFonts w:hint="eastAsia" w:ascii="Times New Roman"/>
          <w:color w:val="auto"/>
          <w:highlight w:val="none"/>
        </w:rPr>
        <w:t>，分别置于2个250 mL容量瓶中，用水稀释至刻度，摇匀。在电感耦合等离子体原子发射光谱分析仪上，按表4规定的分析谱线波长测量上述溶液</w:t>
      </w:r>
      <w:r>
        <w:rPr>
          <w:rFonts w:ascii="Times New Roman"/>
          <w:color w:val="auto"/>
          <w:highlight w:val="none"/>
        </w:rPr>
        <w:t>中</w:t>
      </w:r>
      <w:r>
        <w:rPr>
          <w:rFonts w:hint="eastAsia" w:ascii="Times New Roman"/>
          <w:color w:val="auto"/>
          <w:highlight w:val="none"/>
        </w:rPr>
        <w:t>钠</w:t>
      </w:r>
      <w:r>
        <w:rPr>
          <w:rFonts w:ascii="Times New Roman"/>
          <w:color w:val="auto"/>
          <w:highlight w:val="none"/>
        </w:rPr>
        <w:t>、</w:t>
      </w:r>
      <w:r>
        <w:rPr>
          <w:rFonts w:hint="eastAsia" w:ascii="Times New Roman"/>
          <w:color w:val="auto"/>
          <w:highlight w:val="none"/>
        </w:rPr>
        <w:t>铜、铁和锰的发射光谱强度。从标准曲线上查得</w:t>
      </w:r>
      <w:r>
        <w:rPr>
          <w:rFonts w:hint="eastAsia" w:ascii="Times New Roman"/>
          <w:color w:val="auto"/>
          <w:highlight w:val="none"/>
          <w:lang w:val="en-US" w:eastAsia="zh-CN"/>
        </w:rPr>
        <w:t>试验溶液A和空白试验溶液A中</w:t>
      </w:r>
      <w:r>
        <w:rPr>
          <w:rFonts w:hint="eastAsia" w:ascii="Times New Roman"/>
          <w:color w:val="auto"/>
          <w:highlight w:val="none"/>
        </w:rPr>
        <w:t>钠</w:t>
      </w:r>
      <w:r>
        <w:rPr>
          <w:rFonts w:ascii="Times New Roman"/>
          <w:color w:val="auto"/>
          <w:highlight w:val="none"/>
        </w:rPr>
        <w:t>、</w:t>
      </w:r>
      <w:r>
        <w:rPr>
          <w:rFonts w:hint="eastAsia" w:ascii="Times New Roman"/>
          <w:color w:val="auto"/>
          <w:highlight w:val="none"/>
        </w:rPr>
        <w:t>铜、铁和锰的质量浓度</w:t>
      </w:r>
      <w:r>
        <w:rPr>
          <w:rFonts w:ascii="Times New Roman"/>
          <w:color w:val="auto"/>
          <w:highlight w:val="none"/>
        </w:rPr>
        <w:t>（μg/mL）</w:t>
      </w:r>
      <w:r>
        <w:rPr>
          <w:rFonts w:hint="eastAsia" w:ascii="Times New Roman"/>
          <w:color w:val="auto"/>
          <w:highlight w:val="none"/>
        </w:rPr>
        <w:t>。</w:t>
      </w:r>
    </w:p>
    <w:p>
      <w:pPr>
        <w:pStyle w:val="71"/>
        <w:spacing w:before="120" w:after="120" w:line="360" w:lineRule="exact"/>
        <w:ind w:left="0"/>
        <w:rPr>
          <w:color w:val="auto"/>
          <w:highlight w:val="none"/>
        </w:rPr>
      </w:pPr>
      <w:r>
        <w:rPr>
          <w:rFonts w:hint="eastAsia"/>
          <w:color w:val="auto"/>
          <w:highlight w:val="none"/>
        </w:rPr>
        <w:t>试验数据处理</w:t>
      </w:r>
    </w:p>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钠含量、铜含量、铁含量和锰含量的计算</w:t>
      </w:r>
    </w:p>
    <w:p>
      <w:pPr>
        <w:pStyle w:val="62"/>
        <w:keepNext w:val="0"/>
        <w:keepLines w:val="0"/>
        <w:pageBreakBefore w:val="0"/>
        <w:widowControl/>
        <w:kinsoku/>
        <w:wordWrap/>
        <w:overflowPunct/>
        <w:topLinePunct w:val="0"/>
        <w:autoSpaceDE w:val="0"/>
        <w:autoSpaceDN w:val="0"/>
        <w:bidi w:val="0"/>
        <w:adjustRightInd/>
        <w:snapToGrid/>
        <w:spacing w:line="360" w:lineRule="exact"/>
        <w:ind w:firstLine="420"/>
        <w:textAlignment w:val="auto"/>
        <w:rPr>
          <w:rFonts w:hint="default" w:ascii="Times New Roman" w:hAnsi="Times New Roman" w:eastAsia="微软雅黑" w:cs="Times New Roman"/>
          <w:color w:val="auto"/>
          <w:highlight w:val="none"/>
        </w:rPr>
      </w:pPr>
      <w:r>
        <w:rPr>
          <w:rFonts w:hint="default" w:ascii="Times New Roman" w:hAnsi="Times New Roman" w:cs="Times New Roman"/>
          <w:color w:val="auto"/>
          <w:highlight w:val="none"/>
        </w:rPr>
        <w:t>钠</w:t>
      </w:r>
      <w:r>
        <w:rPr>
          <w:rFonts w:hint="eastAsia" w:ascii="Times New Roman" w:cs="Times New Roman"/>
          <w:color w:val="auto"/>
          <w:highlight w:val="none"/>
          <w:lang w:val="en-US" w:eastAsia="zh-CN"/>
        </w:rPr>
        <w:t>含量</w:t>
      </w:r>
      <w:r>
        <w:rPr>
          <w:rFonts w:hint="default" w:ascii="Times New Roman" w:hAnsi="Times New Roman" w:cs="Times New Roman"/>
          <w:color w:val="auto"/>
          <w:highlight w:val="none"/>
        </w:rPr>
        <w:t>、铜</w:t>
      </w:r>
      <w:r>
        <w:rPr>
          <w:rFonts w:hint="eastAsia" w:ascii="Times New Roman" w:cs="Times New Roman"/>
          <w:color w:val="auto"/>
          <w:highlight w:val="none"/>
          <w:lang w:val="en-US" w:eastAsia="zh-CN"/>
        </w:rPr>
        <w:t>含量</w:t>
      </w:r>
      <w:r>
        <w:rPr>
          <w:rFonts w:hint="default" w:ascii="Times New Roman" w:hAnsi="Times New Roman" w:cs="Times New Roman"/>
          <w:color w:val="auto"/>
          <w:highlight w:val="none"/>
        </w:rPr>
        <w:t>、铁</w:t>
      </w:r>
      <w:r>
        <w:rPr>
          <w:rFonts w:hint="eastAsia" w:ascii="Times New Roman" w:cs="Times New Roman"/>
          <w:color w:val="auto"/>
          <w:highlight w:val="none"/>
          <w:lang w:val="en-US" w:eastAsia="zh-CN"/>
        </w:rPr>
        <w:t>含量</w:t>
      </w:r>
      <w:r>
        <w:rPr>
          <w:rFonts w:hint="default" w:ascii="Times New Roman" w:hAnsi="Times New Roman" w:cs="Times New Roman"/>
          <w:color w:val="auto"/>
          <w:highlight w:val="none"/>
        </w:rPr>
        <w:t>、锰含量以钠（Na）、镍（Ni）、铁（Fe）、锰（Mn）的质量分数</w:t>
      </w:r>
      <m:oMath>
        <m:r>
          <m:rPr/>
          <w:rPr>
            <w:rFonts w:hint="default" w:ascii="Cambria Math" w:hAnsi="Cambria Math" w:cs="Times New Roman"/>
            <w:color w:val="auto"/>
            <w:highlight w:val="none"/>
          </w:rPr>
          <m:t>ω</m:t>
        </m:r>
      </m:oMath>
      <w:r>
        <w:rPr>
          <w:rFonts w:hint="default" w:ascii="Times New Roman" w:hAnsi="Times New Roman" w:cs="Times New Roman"/>
          <w:i/>
          <w:color w:val="auto"/>
          <w:kern w:val="2"/>
          <w:szCs w:val="18"/>
          <w:highlight w:val="none"/>
          <w:vertAlign w:val="subscript"/>
        </w:rPr>
        <w:t>x</w:t>
      </w:r>
      <w:r>
        <w:rPr>
          <w:rFonts w:hint="default" w:ascii="Times New Roman" w:hAnsi="Times New Roman" w:cs="Times New Roman"/>
          <w:color w:val="auto"/>
          <w:highlight w:val="none"/>
        </w:rPr>
        <w:t>计，按公式（1）计算：</w:t>
      </w:r>
      <w:r>
        <w:rPr>
          <w:rFonts w:hint="default" w:ascii="Times New Roman" w:hAnsi="Times New Roman" w:eastAsia="微软雅黑" w:cs="Times New Roman"/>
          <w:color w:val="auto"/>
          <w:highlight w:val="none"/>
        </w:rPr>
        <w:tab/>
      </w:r>
    </w:p>
    <w:p>
      <w:pPr>
        <w:pStyle w:val="62"/>
        <w:widowControl/>
        <w:autoSpaceDE w:val="0"/>
        <w:autoSpaceDN w:val="0"/>
        <w:adjustRightInd/>
        <w:ind w:firstLine="420"/>
        <w:jc w:val="right"/>
        <w:rPr>
          <w:rFonts w:ascii="Times New Roman" w:hAnsi="Times New Roman"/>
          <w:color w:val="auto"/>
          <w:highlight w:val="none"/>
        </w:rPr>
      </w:pPr>
      <w:r>
        <w:rPr>
          <w:color w:val="auto"/>
          <w:position w:val="-30"/>
          <w:highlight w:val="none"/>
        </w:rPr>
        <w:object>
          <v:shape id="_x0000_i1025" o:spt="75" type="#_x0000_t75" style="height:37.5pt;width:165.8pt;" o:ole="t" filled="f" o:preferrelative="t" stroked="f" coordsize="21600,21600">
            <v:path/>
            <v:fill on="f" focussize="0,0"/>
            <v:stroke on="f"/>
            <v:imagedata r:id="rId13" o:title=""/>
            <o:lock v:ext="edit" aspectratio="t"/>
            <w10:wrap type="none"/>
            <w10:anchorlock/>
          </v:shape>
          <o:OLEObject Type="Embed" ProgID="Equation.3" ShapeID="_x0000_i1025" DrawAspect="Content" ObjectID="_1468075725" r:id="rId12">
            <o:LockedField>false</o:LockedField>
          </o:OLEObject>
        </w:object>
      </w:r>
      <w:r>
        <w:rPr>
          <w:rFonts w:hint="eastAsia" w:cs="宋体"/>
          <w:color w:val="auto"/>
          <w:highlight w:val="none"/>
        </w:rPr>
        <w:t>………………………</w:t>
      </w:r>
      <w:r>
        <w:rPr>
          <w:rFonts w:hint="eastAsia" w:ascii="Times New Roman" w:hAnsi="Times New Roman"/>
          <w:color w:val="auto"/>
          <w:highlight w:val="none"/>
        </w:rPr>
        <w:t>（</w:t>
      </w:r>
      <w:r>
        <w:rPr>
          <w:rFonts w:ascii="Times New Roman" w:hAnsi="Times New Roman"/>
          <w:color w:val="auto"/>
          <w:highlight w:val="none"/>
        </w:rPr>
        <w:fldChar w:fldCharType="begin"/>
      </w:r>
      <w:r>
        <w:rPr>
          <w:rFonts w:ascii="Times New Roman" w:hAnsi="Times New Roman"/>
          <w:color w:val="auto"/>
          <w:highlight w:val="none"/>
        </w:rPr>
        <w:instrText xml:space="preserve"> seq fulu_equation_133449162139042968 </w:instrText>
      </w:r>
      <w:r>
        <w:rPr>
          <w:rFonts w:ascii="Times New Roman" w:hAnsi="Times New Roman"/>
          <w:color w:val="auto"/>
          <w:highlight w:val="none"/>
        </w:rPr>
        <w:fldChar w:fldCharType="separate"/>
      </w:r>
      <w:r>
        <w:rPr>
          <w:rFonts w:ascii="Times New Roman" w:hAnsi="Times New Roman"/>
          <w:color w:val="auto"/>
          <w:highlight w:val="none"/>
        </w:rPr>
        <w:t>1</w:t>
      </w:r>
      <w:r>
        <w:rPr>
          <w:rFonts w:ascii="Times New Roman" w:hAnsi="Times New Roman"/>
          <w:color w:val="auto"/>
          <w:highlight w:val="none"/>
        </w:rPr>
        <w:fldChar w:fldCharType="end"/>
      </w:r>
      <w:r>
        <w:rPr>
          <w:rFonts w:hint="eastAsia" w:ascii="Times New Roman" w:hAnsi="Times New Roman"/>
          <w:color w:val="auto"/>
          <w:highlight w:val="none"/>
        </w:rPr>
        <w:t>）</w:t>
      </w:r>
    </w:p>
    <w:p>
      <w:pPr>
        <w:pStyle w:val="61"/>
        <w:spacing w:line="360" w:lineRule="exact"/>
        <w:ind w:firstLine="420"/>
        <w:rPr>
          <w:rFonts w:ascii="Times New Roman" w:hAnsi="Times New Roman"/>
          <w:color w:val="auto"/>
          <w:highlight w:val="none"/>
        </w:rPr>
      </w:pPr>
      <w:r>
        <w:rPr>
          <w:rFonts w:hint="eastAsia" w:ascii="Times New Roman" w:hAnsi="Times New Roman"/>
          <w:color w:val="auto"/>
          <w:highlight w:val="none"/>
        </w:rPr>
        <w:t>式中：</w:t>
      </w:r>
    </w:p>
    <w:p>
      <w:pPr>
        <w:pStyle w:val="62"/>
        <w:spacing w:line="360" w:lineRule="exact"/>
        <w:ind w:firstLine="420"/>
        <w:rPr>
          <w:rFonts w:ascii="Times New Roman"/>
          <w:color w:val="auto"/>
          <w:highlight w:val="none"/>
        </w:rPr>
      </w:pPr>
      <w:r>
        <w:rPr>
          <w:i/>
          <w:iCs/>
          <w:color w:val="auto"/>
          <w:szCs w:val="21"/>
          <w:highlight w:val="none"/>
        </w:rPr>
        <w:t>ρ</w:t>
      </w:r>
      <w:r>
        <w:rPr>
          <w:color w:val="auto"/>
          <w:szCs w:val="21"/>
          <w:highlight w:val="none"/>
          <w:vertAlign w:val="subscript"/>
        </w:rPr>
        <w:t>x</w:t>
      </w:r>
      <w:r>
        <w:rPr>
          <w:rFonts w:ascii="Times New Roman"/>
          <w:color w:val="auto"/>
          <w:highlight w:val="none"/>
        </w:rPr>
        <w:t>——</w:t>
      </w:r>
      <w:r>
        <w:rPr>
          <w:rFonts w:hint="eastAsia" w:ascii="Times New Roman"/>
          <w:color w:val="auto"/>
          <w:highlight w:val="none"/>
        </w:rPr>
        <w:t>从标准曲线</w:t>
      </w:r>
      <w:r>
        <w:rPr>
          <w:rFonts w:ascii="Times New Roman"/>
          <w:color w:val="auto"/>
          <w:highlight w:val="none"/>
        </w:rPr>
        <w:t>上查得</w:t>
      </w:r>
      <w:r>
        <w:rPr>
          <w:rFonts w:hint="eastAsia" w:ascii="Times New Roman"/>
          <w:color w:val="auto"/>
          <w:highlight w:val="none"/>
        </w:rPr>
        <w:t>试验溶液</w:t>
      </w:r>
      <w:r>
        <w:rPr>
          <w:rFonts w:ascii="Times New Roman"/>
          <w:color w:val="auto"/>
          <w:highlight w:val="none"/>
        </w:rPr>
        <w:t>中</w:t>
      </w:r>
      <w:r>
        <w:rPr>
          <w:rFonts w:hint="eastAsia" w:ascii="Times New Roman"/>
          <w:color w:val="auto"/>
          <w:highlight w:val="none"/>
        </w:rPr>
        <w:t>待测</w:t>
      </w:r>
      <w:r>
        <w:rPr>
          <w:rFonts w:ascii="Times New Roman"/>
          <w:color w:val="auto"/>
          <w:highlight w:val="none"/>
        </w:rPr>
        <w:t>元素的质量浓度</w:t>
      </w:r>
      <w:r>
        <w:rPr>
          <w:rFonts w:hint="eastAsia" w:ascii="Times New Roman"/>
          <w:color w:val="auto"/>
          <w:highlight w:val="none"/>
        </w:rPr>
        <w:t>的数值</w:t>
      </w:r>
      <w:r>
        <w:rPr>
          <w:rFonts w:ascii="Times New Roman"/>
          <w:color w:val="auto"/>
          <w:highlight w:val="none"/>
        </w:rPr>
        <w:t>，单位为微克每毫升（μg/mL）；</w:t>
      </w:r>
    </w:p>
    <w:p>
      <w:pPr>
        <w:pStyle w:val="62"/>
        <w:spacing w:line="360" w:lineRule="exact"/>
        <w:ind w:firstLine="420"/>
        <w:rPr>
          <w:rFonts w:ascii="Times New Roman"/>
          <w:color w:val="auto"/>
          <w:highlight w:val="none"/>
        </w:rPr>
      </w:pPr>
      <w:bookmarkStart w:id="38" w:name="_Hlk189665901"/>
      <w:r>
        <w:rPr>
          <w:color w:val="auto"/>
          <w:szCs w:val="21"/>
          <w:highlight w:val="none"/>
        </w:rPr>
        <w:fldChar w:fldCharType="begin"/>
      </w:r>
      <w:r>
        <w:rPr>
          <w:color w:val="auto"/>
          <w:szCs w:val="21"/>
          <w:highlight w:val="none"/>
        </w:rPr>
        <w:instrText xml:space="preserve"> QUOTE </w:instrText>
      </w:r>
      <m:oMath>
        <m:sSub>
          <m:sSubPr>
            <m:ctrlPr>
              <w:rPr>
                <w:rFonts w:ascii="Cambria Math" w:hAnsi="Cambria Math"/>
                <w:i/>
                <w:color w:val="auto"/>
                <w:szCs w:val="21"/>
                <w:highlight w:val="none"/>
              </w:rPr>
            </m:ctrlPr>
          </m:sSubPr>
          <m:e>
            <m:r>
              <m:rPr>
                <m:sty m:val="p"/>
              </m:rPr>
              <w:rPr>
                <w:rFonts w:ascii="Cambria Math" w:hAnsi="Cambria Math"/>
                <w:color w:val="auto"/>
                <w:highlight w:val="none"/>
              </w:rPr>
              <m:t xml:space="preserve">ρ</m:t>
            </m:r>
            <m:ctrlPr>
              <w:rPr>
                <w:rFonts w:ascii="Cambria Math" w:hAnsi="Cambria Math"/>
                <w:i/>
                <w:color w:val="auto"/>
                <w:szCs w:val="21"/>
                <w:highlight w:val="none"/>
              </w:rPr>
            </m:ctrlPr>
          </m:e>
          <m:sub>
            <m:r>
              <m:rPr>
                <m:sty m:val="p"/>
              </m:rPr>
              <w:rPr>
                <w:rFonts w:ascii="Cambria Math" w:hAnsi="Cambria Math"/>
                <w:color w:val="auto"/>
                <w:highlight w:val="none"/>
              </w:rPr>
              <m:t xml:space="preserve">1</m:t>
            </m:r>
            <m:ctrlPr>
              <w:rPr>
                <w:rFonts w:ascii="Cambria Math" w:hAnsi="Cambria Math"/>
                <w:i/>
                <w:color w:val="auto"/>
                <w:szCs w:val="21"/>
                <w:highlight w:val="none"/>
              </w:rPr>
            </m:ctrlPr>
          </m:sub>
        </m:sSub>
      </m:oMath>
      <w:r>
        <w:rPr>
          <w:color w:val="auto"/>
          <w:szCs w:val="21"/>
          <w:highlight w:val="none"/>
        </w:rPr>
        <w:instrText xml:space="preserve"> </w:instrText>
      </w:r>
      <w:r>
        <w:rPr>
          <w:color w:val="auto"/>
          <w:szCs w:val="21"/>
          <w:highlight w:val="none"/>
        </w:rPr>
        <w:fldChar w:fldCharType="separate"/>
      </w:r>
      <w:r>
        <w:rPr>
          <w:i/>
          <w:iCs/>
          <w:color w:val="auto"/>
          <w:szCs w:val="21"/>
          <w:highlight w:val="none"/>
        </w:rPr>
        <w:t>ρ</w:t>
      </w:r>
      <w:r>
        <w:rPr>
          <w:color w:val="auto"/>
          <w:szCs w:val="21"/>
          <w:highlight w:val="none"/>
          <w:vertAlign w:val="subscript"/>
        </w:rPr>
        <w:t>0</w:t>
      </w:r>
      <w:r>
        <w:rPr>
          <w:color w:val="auto"/>
          <w:szCs w:val="21"/>
          <w:highlight w:val="none"/>
        </w:rPr>
        <w:t xml:space="preserve"> </w:t>
      </w:r>
      <w:r>
        <w:rPr>
          <w:color w:val="auto"/>
          <w:szCs w:val="21"/>
          <w:highlight w:val="none"/>
        </w:rPr>
        <w:fldChar w:fldCharType="end"/>
      </w:r>
      <w:bookmarkEnd w:id="38"/>
      <w:r>
        <w:rPr>
          <w:rFonts w:ascii="Times New Roman"/>
          <w:color w:val="auto"/>
          <w:highlight w:val="none"/>
        </w:rPr>
        <w:t>——</w:t>
      </w:r>
      <w:r>
        <w:rPr>
          <w:rFonts w:hint="eastAsia" w:ascii="Times New Roman"/>
          <w:color w:val="auto"/>
          <w:highlight w:val="none"/>
        </w:rPr>
        <w:t>从标准曲线</w:t>
      </w:r>
      <w:r>
        <w:rPr>
          <w:rFonts w:ascii="Times New Roman"/>
          <w:color w:val="auto"/>
          <w:highlight w:val="none"/>
        </w:rPr>
        <w:t>上查得空白试验溶液中</w:t>
      </w:r>
      <w:r>
        <w:rPr>
          <w:rFonts w:hint="eastAsia" w:ascii="Times New Roman"/>
          <w:color w:val="auto"/>
          <w:highlight w:val="none"/>
        </w:rPr>
        <w:t>待测</w:t>
      </w:r>
      <w:r>
        <w:rPr>
          <w:rFonts w:ascii="Times New Roman"/>
          <w:color w:val="auto"/>
          <w:highlight w:val="none"/>
        </w:rPr>
        <w:t>元素的质量浓度</w:t>
      </w:r>
      <w:r>
        <w:rPr>
          <w:rFonts w:hint="eastAsia" w:ascii="Times New Roman"/>
          <w:color w:val="auto"/>
          <w:highlight w:val="none"/>
        </w:rPr>
        <w:t>的数值</w:t>
      </w:r>
      <w:r>
        <w:rPr>
          <w:rFonts w:ascii="Times New Roman"/>
          <w:color w:val="auto"/>
          <w:highlight w:val="none"/>
        </w:rPr>
        <w:t>，单位为微克每毫升（μg/mL）；</w:t>
      </w:r>
    </w:p>
    <w:p>
      <w:pPr>
        <w:pStyle w:val="62"/>
        <w:spacing w:line="360" w:lineRule="exact"/>
        <w:ind w:firstLine="420"/>
        <w:rPr>
          <w:rFonts w:hint="eastAsia" w:ascii="Times New Roman" w:eastAsia="宋体"/>
          <w:color w:val="auto"/>
          <w:highlight w:val="none"/>
          <w:lang w:eastAsia="zh-CN"/>
        </w:rPr>
      </w:pPr>
      <w:r>
        <w:rPr>
          <w:rFonts w:ascii="Times New Roman"/>
          <w:i/>
          <w:iCs/>
          <w:color w:val="auto"/>
          <w:kern w:val="2"/>
          <w:szCs w:val="21"/>
          <w:highlight w:val="none"/>
        </w:rPr>
        <w:t>m</w:t>
      </w:r>
      <w:r>
        <w:rPr>
          <w:rFonts w:ascii="Times New Roman"/>
          <w:color w:val="auto"/>
          <w:highlight w:val="none"/>
        </w:rPr>
        <w:t>——试料的质量</w:t>
      </w:r>
      <w:r>
        <w:rPr>
          <w:rFonts w:hint="eastAsia" w:ascii="Times New Roman"/>
          <w:color w:val="auto"/>
          <w:highlight w:val="none"/>
        </w:rPr>
        <w:t>的数值</w:t>
      </w:r>
      <w:r>
        <w:rPr>
          <w:rFonts w:ascii="Times New Roman"/>
          <w:color w:val="auto"/>
          <w:highlight w:val="none"/>
        </w:rPr>
        <w:t>，单位为克（g）</w:t>
      </w:r>
      <w:r>
        <w:rPr>
          <w:rFonts w:hint="eastAsia" w:ascii="Times New Roman"/>
          <w:color w:val="auto"/>
          <w:highlight w:val="none"/>
          <w:lang w:eastAsia="zh-CN"/>
        </w:rPr>
        <w:t>。</w:t>
      </w:r>
    </w:p>
    <w:p>
      <w:pPr>
        <w:adjustRightInd w:val="0"/>
        <w:spacing w:line="400" w:lineRule="exact"/>
        <w:ind w:firstLine="420" w:firstLineChars="200"/>
        <w:rPr>
          <w:rFonts w:ascii="Calibri" w:hAnsi="Calibri"/>
          <w:color w:val="auto"/>
          <w:szCs w:val="20"/>
          <w:highlight w:val="none"/>
          <w14:ligatures w14:val="none"/>
        </w:rPr>
      </w:pPr>
      <w:r>
        <w:rPr>
          <w:rFonts w:ascii="Calibri" w:hAnsi="宋体"/>
          <w:color w:val="auto"/>
          <w:szCs w:val="20"/>
          <w:highlight w:val="none"/>
          <w14:ligatures w14:val="none"/>
        </w:rPr>
        <w:t>试验结果以平行测定结果的算术平均值为测定结果。</w:t>
      </w:r>
      <w:r>
        <w:rPr>
          <w:bCs/>
          <w:color w:val="auto"/>
          <w:szCs w:val="21"/>
          <w:highlight w:val="none"/>
          <w14:ligatures w14:val="none"/>
        </w:rPr>
        <w:t>两次平行测定结果的绝对差值不大于0.</w:t>
      </w:r>
      <w:r>
        <w:rPr>
          <w:rFonts w:hint="eastAsia"/>
          <w:bCs/>
          <w:color w:val="auto"/>
          <w:szCs w:val="21"/>
          <w:highlight w:val="none"/>
          <w14:ligatures w14:val="none"/>
        </w:rPr>
        <w:t>2</w:t>
      </w:r>
      <w:r>
        <w:rPr>
          <w:bCs/>
          <w:color w:val="auto"/>
          <w:szCs w:val="21"/>
          <w:highlight w:val="none"/>
          <w14:ligatures w14:val="none"/>
        </w:rPr>
        <w:t>0 %</w:t>
      </w:r>
      <w:r>
        <w:rPr>
          <w:rFonts w:ascii="Calibri" w:hAnsi="宋体"/>
          <w:color w:val="auto"/>
          <w:szCs w:val="20"/>
          <w:highlight w:val="none"/>
          <w14:ligatures w14:val="none"/>
        </w:rPr>
        <w:t>。</w:t>
      </w:r>
    </w:p>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lang w:eastAsia="zh-CN"/>
        </w:rPr>
        <w:t>铜铁锰合量</w:t>
      </w:r>
      <w:r>
        <w:rPr>
          <w:rFonts w:hint="eastAsia" w:ascii="黑体" w:hAnsi="黑体" w:eastAsia="黑体" w:cs="黑体"/>
          <w:color w:val="auto"/>
          <w:kern w:val="0"/>
          <w:szCs w:val="20"/>
          <w:highlight w:val="none"/>
        </w:rPr>
        <w:t>的计算</w:t>
      </w:r>
    </w:p>
    <w:p>
      <w:pPr>
        <w:pStyle w:val="62"/>
        <w:spacing w:line="360" w:lineRule="exact"/>
        <w:ind w:firstLine="420"/>
        <w:rPr>
          <w:rFonts w:hint="eastAsia" w:ascii="Times New Roman"/>
          <w:color w:val="auto"/>
          <w:highlight w:val="none"/>
        </w:rPr>
      </w:pPr>
      <w:r>
        <w:rPr>
          <w:rFonts w:hint="eastAsia" w:ascii="Times New Roman"/>
          <w:color w:val="auto"/>
          <w:highlight w:val="none"/>
          <w:lang w:eastAsia="zh-CN"/>
        </w:rPr>
        <w:t>铜铁锰合量</w:t>
      </w:r>
      <w:r>
        <w:rPr>
          <w:rFonts w:hint="eastAsia" w:ascii="Times New Roman"/>
          <w:color w:val="auto"/>
          <w:highlight w:val="none"/>
        </w:rPr>
        <w:t>以铜、铁、锰3种元素的质量分数</w:t>
      </w:r>
      <w:r>
        <w:rPr>
          <w:rFonts w:hint="eastAsia" w:ascii="Times New Roman"/>
          <w:color w:val="auto"/>
          <w:highlight w:val="none"/>
          <w:lang w:val="en-US" w:eastAsia="zh-CN"/>
        </w:rPr>
        <w:t>之</w:t>
      </w:r>
      <w:r>
        <w:rPr>
          <w:rFonts w:hint="eastAsia" w:ascii="Times New Roman"/>
          <w:color w:val="auto"/>
          <w:highlight w:val="none"/>
        </w:rPr>
        <w:t>和</w:t>
      </w:r>
      <m:oMath>
        <m:r>
          <m:rPr/>
          <w:rPr>
            <w:rFonts w:ascii="Cambria Math" w:hAnsi="Cambria Math"/>
            <w:color w:val="auto"/>
            <w:highlight w:val="none"/>
          </w:rPr>
          <m:t>ω</m:t>
        </m:r>
      </m:oMath>
      <w:r>
        <w:rPr>
          <w:rFonts w:ascii="Times New Roman"/>
          <w:color w:val="auto"/>
          <w:sz w:val="18"/>
          <w:szCs w:val="18"/>
          <w:highlight w:val="none"/>
          <w:vertAlign w:val="subscript"/>
        </w:rPr>
        <w:t>Cu</w:t>
      </w:r>
      <w:r>
        <w:rPr>
          <w:rFonts w:hint="eastAsia" w:ascii="Times New Roman"/>
          <w:color w:val="auto"/>
          <w:sz w:val="18"/>
          <w:szCs w:val="18"/>
          <w:highlight w:val="none"/>
          <w:vertAlign w:val="subscript"/>
        </w:rPr>
        <w:t>+</w:t>
      </w:r>
      <w:r>
        <w:rPr>
          <w:rFonts w:ascii="Times New Roman"/>
          <w:color w:val="auto"/>
          <w:sz w:val="18"/>
          <w:szCs w:val="18"/>
          <w:highlight w:val="none"/>
          <w:vertAlign w:val="subscript"/>
        </w:rPr>
        <w:t>Fe+</w:t>
      </w:r>
      <w:r>
        <w:rPr>
          <w:rFonts w:hint="eastAsia" w:ascii="Times New Roman"/>
          <w:color w:val="auto"/>
          <w:sz w:val="18"/>
          <w:szCs w:val="18"/>
          <w:highlight w:val="none"/>
          <w:vertAlign w:val="subscript"/>
        </w:rPr>
        <w:t>M</w:t>
      </w:r>
      <w:r>
        <w:rPr>
          <w:rFonts w:ascii="Times New Roman"/>
          <w:color w:val="auto"/>
          <w:sz w:val="18"/>
          <w:szCs w:val="18"/>
          <w:highlight w:val="none"/>
          <w:vertAlign w:val="subscript"/>
        </w:rPr>
        <w:t>n</w:t>
      </w:r>
      <w:r>
        <w:rPr>
          <w:rFonts w:hint="eastAsia" w:ascii="Times New Roman"/>
          <w:color w:val="auto"/>
          <w:kern w:val="2"/>
          <w:szCs w:val="21"/>
          <w:highlight w:val="none"/>
        </w:rPr>
        <w:t>计，按</w:t>
      </w:r>
      <w:r>
        <w:rPr>
          <w:rFonts w:hint="eastAsia" w:ascii="Times New Roman"/>
          <w:color w:val="auto"/>
          <w:highlight w:val="none"/>
        </w:rPr>
        <w:t>公式（</w:t>
      </w:r>
      <w:r>
        <w:rPr>
          <w:rFonts w:ascii="Times New Roman"/>
          <w:color w:val="auto"/>
          <w:highlight w:val="none"/>
        </w:rPr>
        <w:t>2</w:t>
      </w:r>
      <w:r>
        <w:rPr>
          <w:rFonts w:hint="eastAsia" w:ascii="Times New Roman"/>
          <w:color w:val="auto"/>
          <w:highlight w:val="none"/>
        </w:rPr>
        <w:t>）计算：</w:t>
      </w:r>
    </w:p>
    <w:p>
      <w:pPr>
        <w:pStyle w:val="62"/>
        <w:ind w:firstLine="420"/>
        <w:jc w:val="right"/>
        <w:rPr>
          <w:rFonts w:ascii="Times New Roman" w:hAnsi="Times New Roman"/>
          <w:color w:val="auto"/>
          <w:highlight w:val="none"/>
        </w:rPr>
      </w:pPr>
      <w:r>
        <w:rPr>
          <w:color w:val="auto"/>
          <w:position w:val="-12"/>
          <w:highlight w:val="none"/>
        </w:rPr>
        <w:object>
          <v:shape id="_x0000_i1026" o:spt="75" type="#_x0000_t75" style="height:18.75pt;width:131.7pt;" o:ole="t" filled="f" o:preferrelative="t" stroked="f" coordsize="21600,21600">
            <v:path/>
            <v:fill on="f" focussize="0,0"/>
            <v:stroke on="f"/>
            <v:imagedata r:id="rId15" o:title=""/>
            <o:lock v:ext="edit" aspectratio="t"/>
            <w10:wrap type="none"/>
            <w10:anchorlock/>
          </v:shape>
          <o:OLEObject Type="Embed" ProgID="Equation.3" ShapeID="_x0000_i1026" DrawAspect="Content" ObjectID="_1468075726" r:id="rId14">
            <o:LockedField>false</o:LockedField>
          </o:OLEObject>
        </w:object>
      </w:r>
      <w:r>
        <w:rPr>
          <w:rFonts w:hint="eastAsia" w:cs="宋体"/>
          <w:color w:val="auto"/>
          <w:highlight w:val="none"/>
        </w:rPr>
        <w:t>……………………………………</w:t>
      </w:r>
      <w:r>
        <w:rPr>
          <w:rFonts w:hint="eastAsia" w:ascii="Times New Roman" w:hAnsi="Times New Roman"/>
          <w:color w:val="auto"/>
          <w:highlight w:val="none"/>
        </w:rPr>
        <w:t>（</w:t>
      </w:r>
      <w:r>
        <w:rPr>
          <w:rFonts w:ascii="Times New Roman" w:hAnsi="Times New Roman"/>
          <w:color w:val="auto"/>
          <w:highlight w:val="none"/>
        </w:rPr>
        <w:fldChar w:fldCharType="begin"/>
      </w:r>
      <w:r>
        <w:rPr>
          <w:rFonts w:ascii="Times New Roman" w:hAnsi="Times New Roman"/>
          <w:color w:val="auto"/>
          <w:highlight w:val="none"/>
        </w:rPr>
        <w:instrText xml:space="preserve">  seq fulu_equation_133449162139042968  </w:instrText>
      </w:r>
      <w:r>
        <w:rPr>
          <w:rFonts w:ascii="Times New Roman" w:hAnsi="Times New Roman"/>
          <w:color w:val="auto"/>
          <w:highlight w:val="none"/>
        </w:rPr>
        <w:fldChar w:fldCharType="separate"/>
      </w:r>
      <w:r>
        <w:rPr>
          <w:rFonts w:ascii="Times New Roman" w:hAnsi="Times New Roman"/>
          <w:color w:val="auto"/>
          <w:highlight w:val="none"/>
        </w:rPr>
        <w:t>2</w:t>
      </w:r>
      <w:r>
        <w:rPr>
          <w:rFonts w:ascii="Times New Roman" w:hAnsi="Times New Roman"/>
          <w:color w:val="auto"/>
          <w:highlight w:val="none"/>
        </w:rPr>
        <w:fldChar w:fldCharType="end"/>
      </w:r>
      <w:r>
        <w:rPr>
          <w:rFonts w:hint="eastAsia" w:ascii="Times New Roman" w:hAnsi="Times New Roman"/>
          <w:color w:val="auto"/>
          <w:highlight w:val="none"/>
        </w:rPr>
        <w:t>）</w:t>
      </w:r>
    </w:p>
    <w:p>
      <w:pPr>
        <w:pStyle w:val="61"/>
        <w:spacing w:line="360" w:lineRule="exact"/>
        <w:ind w:firstLine="420"/>
        <w:rPr>
          <w:rFonts w:ascii="Times New Roman"/>
          <w:color w:val="auto"/>
          <w:highlight w:val="none"/>
        </w:rPr>
      </w:pPr>
      <w:r>
        <w:rPr>
          <w:rFonts w:hint="eastAsia" w:ascii="Times New Roman" w:hAnsi="Times New Roman"/>
          <w:color w:val="auto"/>
          <w:highlight w:val="none"/>
        </w:rPr>
        <w:t>式中：</w:t>
      </w:r>
    </w:p>
    <w:p>
      <w:pPr>
        <w:pStyle w:val="62"/>
        <w:spacing w:line="360" w:lineRule="exact"/>
        <w:ind w:firstLine="420"/>
        <w:rPr>
          <w:rFonts w:ascii="Times New Roman"/>
          <w:color w:val="auto"/>
          <w:highlight w:val="none"/>
        </w:rPr>
      </w:pPr>
      <m:oMath>
        <m:sSub>
          <m:sSubPr>
            <m:ctrlPr>
              <w:rPr>
                <w:rFonts w:ascii="Cambria Math" w:hAnsi="Cambria Math"/>
                <w:i/>
                <w:color w:val="auto"/>
                <w:kern w:val="2"/>
                <w:szCs w:val="21"/>
                <w:highlight w:val="none"/>
              </w:rPr>
            </m:ctrlPr>
          </m:sSubPr>
          <m:e>
            <m:r>
              <m:rPr/>
              <w:rPr>
                <w:rFonts w:ascii="Cambria Math" w:hAnsi="Cambria Math"/>
                <w:color w:val="auto"/>
                <w:highlight w:val="none"/>
              </w:rPr>
              <m:t>ω</m:t>
            </m:r>
            <m:ctrlPr>
              <w:rPr>
                <w:rFonts w:ascii="Cambria Math" w:hAnsi="Cambria Math"/>
                <w:i/>
                <w:color w:val="auto"/>
                <w:kern w:val="2"/>
                <w:szCs w:val="21"/>
                <w:highlight w:val="none"/>
              </w:rPr>
            </m:ctrlPr>
          </m:e>
          <m:sub>
            <m:r>
              <m:rPr>
                <m:sty m:val="p"/>
              </m:rPr>
              <w:rPr>
                <w:rFonts w:ascii="Cambria Math" w:hAnsi="Cambria Math"/>
                <w:color w:val="auto"/>
                <w:highlight w:val="none"/>
              </w:rPr>
              <m:t>Cu</m:t>
            </m:r>
            <m:ctrlPr>
              <w:rPr>
                <w:rFonts w:ascii="Cambria Math" w:hAnsi="Cambria Math"/>
                <w:i/>
                <w:color w:val="auto"/>
                <w:kern w:val="2"/>
                <w:szCs w:val="21"/>
                <w:highlight w:val="none"/>
              </w:rPr>
            </m:ctrlPr>
          </m:sub>
        </m:sSub>
      </m:oMath>
      <w:r>
        <w:rPr>
          <w:rFonts w:ascii="Times New Roman"/>
          <w:color w:val="auto"/>
          <w:highlight w:val="none"/>
        </w:rPr>
        <w:t>——</w:t>
      </w:r>
      <w:r>
        <w:rPr>
          <w:rFonts w:hint="eastAsia" w:ascii="Times New Roman"/>
          <w:color w:val="auto"/>
          <w:highlight w:val="none"/>
        </w:rPr>
        <w:t>铜的质量分数；</w:t>
      </w:r>
    </w:p>
    <w:p>
      <w:pPr>
        <w:pStyle w:val="62"/>
        <w:spacing w:line="360" w:lineRule="exact"/>
        <w:ind w:firstLine="420"/>
        <w:rPr>
          <w:rFonts w:ascii="Times New Roman"/>
          <w:color w:val="auto"/>
          <w:highlight w:val="none"/>
        </w:rPr>
      </w:pPr>
      <m:oMath>
        <m:sSub>
          <m:sSubPr>
            <m:ctrlPr>
              <w:rPr>
                <w:rFonts w:ascii="Cambria Math" w:hAnsi="Cambria Math"/>
                <w:i/>
                <w:color w:val="auto"/>
                <w:kern w:val="2"/>
                <w:szCs w:val="21"/>
                <w:highlight w:val="none"/>
              </w:rPr>
            </m:ctrlPr>
          </m:sSubPr>
          <m:e>
            <m:r>
              <m:rPr/>
              <w:rPr>
                <w:rFonts w:ascii="Cambria Math" w:hAnsi="Cambria Math"/>
                <w:color w:val="auto"/>
                <w:highlight w:val="none"/>
              </w:rPr>
              <m:t>ω</m:t>
            </m:r>
            <m:ctrlPr>
              <w:rPr>
                <w:rFonts w:ascii="Cambria Math" w:hAnsi="Cambria Math"/>
                <w:i/>
                <w:color w:val="auto"/>
                <w:kern w:val="2"/>
                <w:szCs w:val="21"/>
                <w:highlight w:val="none"/>
              </w:rPr>
            </m:ctrlPr>
          </m:e>
          <m:sub>
            <m:r>
              <m:rPr>
                <m:sty m:val="p"/>
              </m:rPr>
              <w:rPr>
                <w:rFonts w:ascii="Cambria Math" w:hAnsi="Cambria Math"/>
                <w:color w:val="auto"/>
                <w:highlight w:val="none"/>
              </w:rPr>
              <m:t>Fe</m:t>
            </m:r>
            <m:ctrlPr>
              <w:rPr>
                <w:rFonts w:ascii="Cambria Math" w:hAnsi="Cambria Math"/>
                <w:i/>
                <w:color w:val="auto"/>
                <w:kern w:val="2"/>
                <w:szCs w:val="21"/>
                <w:highlight w:val="none"/>
              </w:rPr>
            </m:ctrlPr>
          </m:sub>
        </m:sSub>
      </m:oMath>
      <w:r>
        <w:rPr>
          <w:rFonts w:ascii="Times New Roman"/>
          <w:color w:val="auto"/>
          <w:highlight w:val="none"/>
        </w:rPr>
        <w:t>——</w:t>
      </w:r>
      <w:r>
        <w:rPr>
          <w:rFonts w:hint="eastAsia" w:ascii="Times New Roman"/>
          <w:color w:val="auto"/>
          <w:highlight w:val="none"/>
        </w:rPr>
        <w:t>铁的质量分数；</w:t>
      </w:r>
    </w:p>
    <w:p>
      <w:pPr>
        <w:pStyle w:val="62"/>
        <w:spacing w:line="360" w:lineRule="exact"/>
        <w:ind w:firstLine="420"/>
        <w:rPr>
          <w:rFonts w:ascii="Times New Roman"/>
          <w:color w:val="auto"/>
          <w:highlight w:val="none"/>
        </w:rPr>
      </w:pPr>
      <m:oMath>
        <m:sSub>
          <m:sSubPr>
            <m:ctrlPr>
              <w:rPr>
                <w:rFonts w:ascii="Cambria Math" w:hAnsi="Cambria Math"/>
                <w:i/>
                <w:color w:val="auto"/>
                <w:kern w:val="2"/>
                <w:szCs w:val="21"/>
                <w:highlight w:val="none"/>
              </w:rPr>
            </m:ctrlPr>
          </m:sSubPr>
          <m:e>
            <m:r>
              <m:rPr/>
              <w:rPr>
                <w:rFonts w:ascii="Cambria Math" w:hAnsi="Cambria Math"/>
                <w:color w:val="auto"/>
                <w:highlight w:val="none"/>
              </w:rPr>
              <m:t>ω</m:t>
            </m:r>
            <m:ctrlPr>
              <w:rPr>
                <w:rFonts w:ascii="Cambria Math" w:hAnsi="Cambria Math"/>
                <w:i/>
                <w:color w:val="auto"/>
                <w:kern w:val="2"/>
                <w:szCs w:val="21"/>
                <w:highlight w:val="none"/>
              </w:rPr>
            </m:ctrlPr>
          </m:e>
          <m:sub>
            <m:r>
              <m:rPr>
                <m:sty m:val="p"/>
              </m:rPr>
              <w:rPr>
                <w:rFonts w:ascii="Cambria Math" w:hAnsi="Cambria Math"/>
                <w:color w:val="auto"/>
                <w:highlight w:val="none"/>
              </w:rPr>
              <m:t>Mn</m:t>
            </m:r>
            <m:ctrlPr>
              <w:rPr>
                <w:rFonts w:ascii="Cambria Math" w:hAnsi="Cambria Math"/>
                <w:i/>
                <w:color w:val="auto"/>
                <w:kern w:val="2"/>
                <w:szCs w:val="21"/>
                <w:highlight w:val="none"/>
              </w:rPr>
            </m:ctrlPr>
          </m:sub>
        </m:sSub>
      </m:oMath>
      <w:r>
        <w:rPr>
          <w:rFonts w:ascii="Times New Roman"/>
          <w:color w:val="auto"/>
          <w:highlight w:val="none"/>
        </w:rPr>
        <w:t>——</w:t>
      </w:r>
      <w:r>
        <w:rPr>
          <w:rFonts w:hint="eastAsia" w:ascii="Times New Roman"/>
          <w:color w:val="auto"/>
          <w:highlight w:val="none"/>
        </w:rPr>
        <w:t>锰的质量分数。</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hint="eastAsia" w:ascii="黑体" w:hAnsi="黑体" w:eastAsia="黑体" w:cs="黑体"/>
          <w:color w:val="auto"/>
          <w:highlight w:val="none"/>
        </w:rPr>
        <w:t>钙含量、镉含量、铬含量、镁含量、铅含量、硫含量、硅含量和锌含量的测定</w:t>
      </w:r>
    </w:p>
    <w:p>
      <w:pPr>
        <w:pStyle w:val="71"/>
        <w:spacing w:before="120" w:after="120" w:line="360" w:lineRule="exact"/>
        <w:ind w:left="0"/>
        <w:rPr>
          <w:color w:val="auto"/>
          <w:highlight w:val="none"/>
        </w:rPr>
      </w:pPr>
      <w:r>
        <w:rPr>
          <w:rFonts w:hint="eastAsia"/>
          <w:color w:val="auto"/>
          <w:highlight w:val="none"/>
        </w:rPr>
        <w:t>原理</w:t>
      </w:r>
    </w:p>
    <w:p>
      <w:pPr>
        <w:pStyle w:val="62"/>
        <w:spacing w:line="360" w:lineRule="exact"/>
        <w:ind w:firstLine="420"/>
        <w:rPr>
          <w:color w:val="auto"/>
          <w:highlight w:val="none"/>
        </w:rPr>
      </w:pPr>
      <w:r>
        <w:rPr>
          <w:rFonts w:hint="eastAsia"/>
          <w:color w:val="auto"/>
          <w:highlight w:val="none"/>
        </w:rPr>
        <w:t>试样</w:t>
      </w:r>
      <w:r>
        <w:rPr>
          <w:rFonts w:hAnsi="宋体"/>
          <w:color w:val="auto"/>
          <w:highlight w:val="none"/>
        </w:rPr>
        <w:t>溶解</w:t>
      </w:r>
      <w:r>
        <w:rPr>
          <w:rFonts w:hint="eastAsia" w:hAnsi="宋体"/>
          <w:color w:val="auto"/>
          <w:highlight w:val="none"/>
        </w:rPr>
        <w:t>后</w:t>
      </w:r>
      <w:r>
        <w:rPr>
          <w:rFonts w:hAnsi="宋体"/>
          <w:color w:val="auto"/>
          <w:highlight w:val="none"/>
        </w:rPr>
        <w:t>，</w:t>
      </w:r>
      <w:r>
        <w:rPr>
          <w:rFonts w:hint="eastAsia" w:hAnsi="宋体"/>
          <w:color w:val="auto"/>
          <w:highlight w:val="none"/>
        </w:rPr>
        <w:t>使用</w:t>
      </w:r>
      <w:r>
        <w:rPr>
          <w:rFonts w:hAnsi="宋体"/>
          <w:color w:val="auto"/>
          <w:highlight w:val="none"/>
        </w:rPr>
        <w:t>电感耦合等离子体发射光谱仪</w:t>
      </w:r>
      <w:r>
        <w:rPr>
          <w:rFonts w:hint="eastAsia" w:hAnsi="宋体"/>
          <w:color w:val="auto"/>
          <w:highlight w:val="none"/>
        </w:rPr>
        <w:t>，采用标准曲线法</w:t>
      </w:r>
      <w:r>
        <w:rPr>
          <w:rFonts w:hAnsi="宋体"/>
          <w:color w:val="auto"/>
          <w:highlight w:val="none"/>
        </w:rPr>
        <w:t>测定</w:t>
      </w:r>
      <w:r>
        <w:rPr>
          <w:rFonts w:hint="eastAsia" w:hAnsi="宋体"/>
          <w:color w:val="auto"/>
          <w:highlight w:val="none"/>
        </w:rPr>
        <w:t>试</w:t>
      </w:r>
      <w:r>
        <w:rPr>
          <w:rFonts w:hAnsi="宋体"/>
          <w:color w:val="auto"/>
          <w:highlight w:val="none"/>
        </w:rPr>
        <w:t>样中</w:t>
      </w:r>
      <w:r>
        <w:rPr>
          <w:rFonts w:hint="eastAsia" w:hAnsi="宋体"/>
          <w:color w:val="auto"/>
          <w:highlight w:val="none"/>
        </w:rPr>
        <w:t>钙含量、</w:t>
      </w:r>
      <w:r>
        <w:rPr>
          <w:rFonts w:hint="eastAsia" w:hAnsi="宋体" w:cs="宋体"/>
          <w:color w:val="auto"/>
          <w:highlight w:val="none"/>
        </w:rPr>
        <w:t>镉含量、铬含量、镁含量、铅含量、硫含量、硅含量和锌含量</w:t>
      </w:r>
      <w:r>
        <w:rPr>
          <w:rFonts w:hint="eastAsia"/>
          <w:color w:val="auto"/>
          <w:highlight w:val="none"/>
        </w:rPr>
        <w:t>。</w:t>
      </w:r>
    </w:p>
    <w:p>
      <w:pPr>
        <w:pStyle w:val="71"/>
        <w:spacing w:before="120" w:after="120" w:line="360" w:lineRule="exact"/>
        <w:ind w:left="0"/>
        <w:rPr>
          <w:color w:val="auto"/>
          <w:highlight w:val="none"/>
        </w:rPr>
      </w:pPr>
      <w:r>
        <w:rPr>
          <w:rFonts w:hint="eastAsia"/>
          <w:color w:val="auto"/>
          <w:highlight w:val="none"/>
        </w:rPr>
        <w:t>试剂或材料</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lang w:val="en-US" w:eastAsia="zh-CN"/>
        </w:rPr>
        <w:t>盐酸溶液：1+1。</w:t>
      </w:r>
    </w:p>
    <w:p>
      <w:pPr>
        <w:pStyle w:val="236"/>
        <w:spacing w:line="360" w:lineRule="exact"/>
        <w:rPr>
          <w:color w:val="auto"/>
          <w:highlight w:val="none"/>
        </w:rPr>
      </w:pPr>
      <w:r>
        <w:rPr>
          <w:rFonts w:hint="eastAsia"/>
          <w:color w:val="auto"/>
          <w:highlight w:val="none"/>
        </w:rPr>
        <w:t>使用优级纯</w:t>
      </w:r>
      <w:r>
        <w:rPr>
          <w:rFonts w:hint="eastAsia"/>
          <w:color w:val="auto"/>
          <w:highlight w:val="none"/>
          <w:lang w:val="en-US" w:eastAsia="zh-CN"/>
        </w:rPr>
        <w:t>试剂</w:t>
      </w:r>
      <w:r>
        <w:rPr>
          <w:rFonts w:hint="eastAsia"/>
          <w:color w:val="auto"/>
          <w:highlight w:val="none"/>
        </w:rPr>
        <w:t>配制。</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钙、镉、铬、镁、铅、硅、锌</w:t>
      </w:r>
      <w:r>
        <w:rPr>
          <w:rFonts w:ascii="Times New Roman" w:hAnsi="Times New Roman"/>
          <w:color w:val="auto"/>
          <w:kern w:val="0"/>
          <w:szCs w:val="20"/>
          <w:highlight w:val="none"/>
        </w:rPr>
        <w:t>混合标准溶液</w:t>
      </w:r>
      <w:r>
        <w:rPr>
          <w:rFonts w:hint="eastAsia" w:ascii="Times New Roman" w:hAnsi="Times New Roman"/>
          <w:color w:val="auto"/>
          <w:kern w:val="0"/>
          <w:szCs w:val="20"/>
          <w:highlight w:val="none"/>
        </w:rPr>
        <w:t>A</w:t>
      </w:r>
      <w:r>
        <w:rPr>
          <w:rFonts w:ascii="Times New Roman" w:hAnsi="Times New Roman"/>
          <w:color w:val="auto"/>
          <w:kern w:val="0"/>
          <w:szCs w:val="20"/>
          <w:highlight w:val="none"/>
        </w:rPr>
        <w:t>：1 mL</w:t>
      </w:r>
      <w:r>
        <w:rPr>
          <w:rFonts w:hint="eastAsia" w:ascii="Times New Roman" w:hAnsi="Times New Roman"/>
          <w:color w:val="auto"/>
          <w:kern w:val="0"/>
          <w:szCs w:val="20"/>
          <w:highlight w:val="none"/>
        </w:rPr>
        <w:t>溶液</w:t>
      </w:r>
      <w:r>
        <w:rPr>
          <w:rFonts w:ascii="Times New Roman" w:hAnsi="Times New Roman"/>
          <w:color w:val="auto"/>
          <w:kern w:val="0"/>
          <w:szCs w:val="20"/>
          <w:highlight w:val="none"/>
        </w:rPr>
        <w:t>含</w:t>
      </w:r>
      <w:r>
        <w:rPr>
          <w:rFonts w:hint="eastAsia"/>
          <w:color w:val="auto"/>
          <w:highlight w:val="none"/>
        </w:rPr>
        <w:t>钙（Ca）</w:t>
      </w:r>
      <w:r>
        <w:rPr>
          <w:rFonts w:hint="eastAsia" w:ascii="Times New Roman" w:hAnsi="Times New Roman"/>
          <w:color w:val="auto"/>
          <w:kern w:val="0"/>
          <w:szCs w:val="20"/>
          <w:highlight w:val="none"/>
        </w:rPr>
        <w:t>、镉（Cd）、铬（Cr）、镁（Mg）、铅（Pb）</w:t>
      </w:r>
      <w:r>
        <w:rPr>
          <w:rFonts w:hint="eastAsia"/>
          <w:color w:val="auto"/>
          <w:highlight w:val="none"/>
        </w:rPr>
        <w:t>、</w:t>
      </w:r>
      <w:r>
        <w:rPr>
          <w:rFonts w:hint="eastAsia" w:ascii="Times New Roman" w:hAnsi="Times New Roman"/>
          <w:color w:val="auto"/>
          <w:kern w:val="0"/>
          <w:szCs w:val="20"/>
          <w:highlight w:val="none"/>
        </w:rPr>
        <w:t>硅（Si）、锌（Zn）各0.1</w:t>
      </w:r>
      <w:r>
        <w:rPr>
          <w:rFonts w:ascii="Times New Roman" w:hAnsi="Times New Roman"/>
          <w:color w:val="auto"/>
          <w:kern w:val="0"/>
          <w:szCs w:val="20"/>
          <w:highlight w:val="none"/>
        </w:rPr>
        <w:t xml:space="preserve"> </w:t>
      </w:r>
      <w:r>
        <w:rPr>
          <w:rFonts w:hint="eastAsia" w:ascii="Times New Roman" w:hAnsi="Times New Roman"/>
          <w:color w:val="auto"/>
          <w:kern w:val="0"/>
          <w:szCs w:val="20"/>
          <w:highlight w:val="none"/>
        </w:rPr>
        <w:t>m</w:t>
      </w:r>
      <w:r>
        <w:rPr>
          <w:rFonts w:ascii="Times New Roman" w:hAnsi="Times New Roman"/>
          <w:color w:val="auto"/>
          <w:kern w:val="0"/>
          <w:szCs w:val="20"/>
          <w:highlight w:val="none"/>
        </w:rPr>
        <w:t>g</w:t>
      </w:r>
      <w:r>
        <w:rPr>
          <w:rFonts w:hint="eastAsia" w:ascii="Times New Roman" w:hAnsi="Times New Roman"/>
          <w:color w:val="auto"/>
          <w:kern w:val="0"/>
          <w:szCs w:val="20"/>
          <w:highlight w:val="none"/>
        </w:rPr>
        <w:t>。</w:t>
      </w:r>
    </w:p>
    <w:p>
      <w:pPr>
        <w:widowControl/>
        <w:adjustRightInd/>
        <w:spacing w:line="360" w:lineRule="exact"/>
        <w:ind w:firstLine="420" w:firstLineChars="200"/>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分别</w:t>
      </w:r>
      <w:r>
        <w:rPr>
          <w:rFonts w:ascii="Times New Roman" w:hAnsi="Times New Roman"/>
          <w:color w:val="auto"/>
          <w:kern w:val="0"/>
          <w:szCs w:val="20"/>
          <w:highlight w:val="none"/>
        </w:rPr>
        <w:t>移取10.00 mL</w:t>
      </w:r>
      <w:r>
        <w:rPr>
          <w:rFonts w:hint="eastAsia" w:ascii="Times New Roman" w:hAnsi="Times New Roman"/>
          <w:color w:val="auto"/>
          <w:kern w:val="0"/>
          <w:szCs w:val="20"/>
          <w:highlight w:val="none"/>
        </w:rPr>
        <w:t>按</w:t>
      </w:r>
      <w:r>
        <w:rPr>
          <w:rFonts w:ascii="Times New Roman" w:hAnsi="Times New Roman"/>
          <w:color w:val="auto"/>
          <w:highlight w:val="none"/>
        </w:rPr>
        <w:t>HG/T 3696.2</w:t>
      </w:r>
      <w:r>
        <w:rPr>
          <w:rFonts w:hint="eastAsia" w:ascii="Times New Roman" w:hAnsi="Times New Roman"/>
          <w:color w:val="auto"/>
          <w:highlight w:val="none"/>
        </w:rPr>
        <w:t>配制（或市售）</w:t>
      </w:r>
      <w:r>
        <w:rPr>
          <w:color w:val="auto"/>
          <w:highlight w:val="none"/>
        </w:rPr>
        <w:t>钙标准</w:t>
      </w:r>
      <w:r>
        <w:rPr>
          <w:rFonts w:hint="eastAsia"/>
          <w:color w:val="auto"/>
          <w:highlight w:val="none"/>
        </w:rPr>
        <w:t>贮备</w:t>
      </w:r>
      <w:r>
        <w:rPr>
          <w:color w:val="auto"/>
          <w:highlight w:val="none"/>
        </w:rPr>
        <w:t>溶液</w:t>
      </w:r>
      <w:r>
        <w:rPr>
          <w:rFonts w:hint="eastAsia" w:ascii="Times New Roman" w:hAnsi="Times New Roman"/>
          <w:color w:val="auto"/>
          <w:kern w:val="0"/>
          <w:szCs w:val="20"/>
          <w:highlight w:val="none"/>
        </w:rPr>
        <w:t>、镉标准贮备溶液</w:t>
      </w:r>
      <w:r>
        <w:rPr>
          <w:color w:val="auto"/>
          <w:highlight w:val="none"/>
        </w:rPr>
        <w:t>、</w:t>
      </w:r>
      <w:r>
        <w:rPr>
          <w:rFonts w:hint="eastAsia" w:ascii="Times New Roman" w:hAnsi="Times New Roman"/>
          <w:color w:val="auto"/>
          <w:kern w:val="0"/>
          <w:szCs w:val="20"/>
          <w:highlight w:val="none"/>
        </w:rPr>
        <w:t>铬标准贮备溶液、镁标准贮备溶液、铅标准贮备溶液、硅</w:t>
      </w:r>
      <w:r>
        <w:rPr>
          <w:rFonts w:ascii="Times New Roman" w:hAnsi="Times New Roman"/>
          <w:color w:val="auto"/>
          <w:kern w:val="0"/>
          <w:szCs w:val="20"/>
          <w:highlight w:val="none"/>
        </w:rPr>
        <w:t>标准</w:t>
      </w:r>
      <w:r>
        <w:rPr>
          <w:rFonts w:hint="eastAsia" w:ascii="Times New Roman" w:hAnsi="Times New Roman"/>
          <w:color w:val="auto"/>
          <w:kern w:val="0"/>
          <w:szCs w:val="20"/>
          <w:highlight w:val="none"/>
        </w:rPr>
        <w:t>贮备</w:t>
      </w:r>
      <w:r>
        <w:rPr>
          <w:rFonts w:ascii="Times New Roman" w:hAnsi="Times New Roman"/>
          <w:color w:val="auto"/>
          <w:kern w:val="0"/>
          <w:szCs w:val="20"/>
          <w:highlight w:val="none"/>
        </w:rPr>
        <w:t>溶液</w:t>
      </w:r>
      <w:r>
        <w:rPr>
          <w:rFonts w:hint="eastAsia" w:ascii="Times New Roman" w:hAnsi="Times New Roman"/>
          <w:color w:val="auto"/>
          <w:kern w:val="0"/>
          <w:szCs w:val="20"/>
          <w:highlight w:val="none"/>
        </w:rPr>
        <w:t>和锌标准贮备溶液</w:t>
      </w:r>
      <w:r>
        <w:rPr>
          <w:rFonts w:ascii="Times New Roman" w:hAnsi="Times New Roman"/>
          <w:color w:val="auto"/>
          <w:kern w:val="0"/>
          <w:szCs w:val="20"/>
          <w:highlight w:val="none"/>
        </w:rPr>
        <w:t>（</w:t>
      </w:r>
      <w:r>
        <w:rPr>
          <w:rFonts w:hint="eastAsia" w:hAnsi="宋体"/>
          <w:color w:val="auto"/>
          <w:highlight w:val="none"/>
        </w:rPr>
        <w:t>质量浓度分别为</w:t>
      </w:r>
      <w:r>
        <w:rPr>
          <w:rFonts w:hint="eastAsia" w:ascii="Times New Roman" w:hAnsi="Times New Roman"/>
          <w:color w:val="auto"/>
          <w:kern w:val="0"/>
          <w:szCs w:val="20"/>
          <w:highlight w:val="none"/>
        </w:rPr>
        <w:t>1 mg/mL</w:t>
      </w:r>
      <w:r>
        <w:rPr>
          <w:rFonts w:ascii="Times New Roman" w:hAnsi="Times New Roman"/>
          <w:color w:val="auto"/>
          <w:kern w:val="0"/>
          <w:szCs w:val="20"/>
          <w:highlight w:val="none"/>
        </w:rPr>
        <w:t>）</w:t>
      </w:r>
      <w:r>
        <w:rPr>
          <w:rFonts w:hint="eastAsia" w:ascii="Times New Roman" w:hAnsi="Times New Roman"/>
          <w:color w:val="auto"/>
          <w:kern w:val="0"/>
          <w:szCs w:val="20"/>
          <w:highlight w:val="none"/>
        </w:rPr>
        <w:t>，</w:t>
      </w:r>
      <w:r>
        <w:rPr>
          <w:rFonts w:ascii="Times New Roman" w:hAnsi="Times New Roman"/>
          <w:color w:val="auto"/>
          <w:kern w:val="0"/>
          <w:szCs w:val="20"/>
          <w:highlight w:val="none"/>
        </w:rPr>
        <w:t>置于</w:t>
      </w:r>
      <w:r>
        <w:rPr>
          <w:rFonts w:hint="eastAsia" w:ascii="Times New Roman" w:hAnsi="Times New Roman"/>
          <w:color w:val="auto"/>
          <w:kern w:val="0"/>
          <w:szCs w:val="20"/>
          <w:highlight w:val="none"/>
        </w:rPr>
        <w:t>同一</w:t>
      </w:r>
      <w:r>
        <w:rPr>
          <w:rFonts w:ascii="Times New Roman" w:hAnsi="Times New Roman"/>
          <w:color w:val="auto"/>
          <w:kern w:val="0"/>
          <w:szCs w:val="20"/>
          <w:highlight w:val="none"/>
        </w:rPr>
        <w:t>100 mL容量瓶中，加</w:t>
      </w:r>
      <w:r>
        <w:rPr>
          <w:rFonts w:hint="eastAsia" w:ascii="Times New Roman" w:hAnsi="Times New Roman"/>
          <w:color w:val="auto"/>
          <w:kern w:val="0"/>
          <w:szCs w:val="20"/>
          <w:highlight w:val="none"/>
        </w:rPr>
        <w:t xml:space="preserve">5 </w:t>
      </w:r>
      <w:r>
        <w:rPr>
          <w:rFonts w:ascii="Times New Roman" w:hAnsi="Times New Roman"/>
          <w:color w:val="auto"/>
          <w:kern w:val="0"/>
          <w:szCs w:val="20"/>
          <w:highlight w:val="none"/>
        </w:rPr>
        <w:t>mL盐酸</w:t>
      </w:r>
      <w:r>
        <w:rPr>
          <w:rFonts w:hint="eastAsia" w:ascii="Times New Roman" w:hAnsi="Times New Roman"/>
          <w:color w:val="auto"/>
          <w:kern w:val="0"/>
          <w:szCs w:val="20"/>
          <w:highlight w:val="none"/>
        </w:rPr>
        <w:t>溶液</w:t>
      </w:r>
      <w:r>
        <w:rPr>
          <w:rFonts w:ascii="Times New Roman" w:hAnsi="Times New Roman"/>
          <w:color w:val="auto"/>
          <w:kern w:val="0"/>
          <w:szCs w:val="20"/>
          <w:highlight w:val="none"/>
        </w:rPr>
        <w:t>，</w:t>
      </w:r>
      <w:r>
        <w:rPr>
          <w:rFonts w:hint="eastAsia" w:ascii="Times New Roman" w:hAnsi="Times New Roman"/>
          <w:color w:val="auto"/>
          <w:kern w:val="0"/>
          <w:szCs w:val="20"/>
          <w:highlight w:val="none"/>
        </w:rPr>
        <w:t>用</w:t>
      </w:r>
      <w:r>
        <w:rPr>
          <w:rFonts w:ascii="Times New Roman" w:hAnsi="Times New Roman"/>
          <w:color w:val="auto"/>
          <w:kern w:val="0"/>
          <w:szCs w:val="20"/>
          <w:highlight w:val="none"/>
        </w:rPr>
        <w:t>水稀释至刻度，</w:t>
      </w:r>
      <w:r>
        <w:rPr>
          <w:rFonts w:hint="eastAsia" w:ascii="Times New Roman" w:hAnsi="Times New Roman"/>
          <w:color w:val="auto"/>
          <w:kern w:val="0"/>
          <w:szCs w:val="20"/>
          <w:highlight w:val="none"/>
        </w:rPr>
        <w:t>摇</w:t>
      </w:r>
      <w:r>
        <w:rPr>
          <w:rFonts w:ascii="Times New Roman" w:hAnsi="Times New Roman"/>
          <w:color w:val="auto"/>
          <w:kern w:val="0"/>
          <w:szCs w:val="20"/>
          <w:highlight w:val="none"/>
        </w:rPr>
        <w:t>匀。</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镉、铬、铅、硅、钙、镁、锌</w:t>
      </w:r>
      <w:r>
        <w:rPr>
          <w:rFonts w:ascii="Times New Roman" w:hAnsi="Times New Roman"/>
          <w:color w:val="auto"/>
          <w:kern w:val="0"/>
          <w:szCs w:val="20"/>
          <w:highlight w:val="none"/>
        </w:rPr>
        <w:t>混合标准溶液</w:t>
      </w:r>
      <w:r>
        <w:rPr>
          <w:rFonts w:hint="eastAsia" w:ascii="Times New Roman" w:hAnsi="Times New Roman"/>
          <w:color w:val="auto"/>
          <w:kern w:val="0"/>
          <w:szCs w:val="20"/>
          <w:highlight w:val="none"/>
        </w:rPr>
        <w:t>B</w:t>
      </w:r>
      <w:r>
        <w:rPr>
          <w:rFonts w:ascii="Times New Roman" w:hAnsi="Times New Roman"/>
          <w:color w:val="auto"/>
          <w:kern w:val="0"/>
          <w:szCs w:val="20"/>
          <w:highlight w:val="none"/>
        </w:rPr>
        <w:t>：1 mL溶液含</w:t>
      </w:r>
      <w:r>
        <w:rPr>
          <w:rFonts w:hint="eastAsia" w:ascii="Times New Roman" w:hAnsi="Times New Roman"/>
          <w:color w:val="auto"/>
          <w:kern w:val="0"/>
          <w:szCs w:val="20"/>
          <w:highlight w:val="none"/>
        </w:rPr>
        <w:t>镉（Cd）、铬（Cr）、铅（Pb）</w:t>
      </w:r>
      <w:r>
        <w:rPr>
          <w:rFonts w:hint="eastAsia"/>
          <w:color w:val="auto"/>
          <w:highlight w:val="none"/>
        </w:rPr>
        <w:t>、</w:t>
      </w:r>
      <w:r>
        <w:rPr>
          <w:rFonts w:hint="eastAsia" w:ascii="Times New Roman" w:hAnsi="Times New Roman"/>
          <w:color w:val="auto"/>
          <w:kern w:val="0"/>
          <w:szCs w:val="20"/>
          <w:highlight w:val="none"/>
        </w:rPr>
        <w:t>硅（Si）、</w:t>
      </w:r>
      <w:r>
        <w:rPr>
          <w:rFonts w:hint="eastAsia"/>
          <w:color w:val="auto"/>
          <w:highlight w:val="none"/>
        </w:rPr>
        <w:t>钙（Ca）</w:t>
      </w:r>
      <w:r>
        <w:rPr>
          <w:rFonts w:hint="eastAsia" w:ascii="Times New Roman" w:hAnsi="Times New Roman"/>
          <w:color w:val="auto"/>
          <w:kern w:val="0"/>
          <w:szCs w:val="20"/>
          <w:highlight w:val="none"/>
        </w:rPr>
        <w:t>、镁（Mg）、锌（Zn）各0.01</w:t>
      </w:r>
      <w:r>
        <w:rPr>
          <w:rFonts w:ascii="Times New Roman" w:hAnsi="Times New Roman"/>
          <w:color w:val="auto"/>
          <w:kern w:val="0"/>
          <w:szCs w:val="20"/>
          <w:highlight w:val="none"/>
        </w:rPr>
        <w:t xml:space="preserve"> </w:t>
      </w:r>
      <w:r>
        <w:rPr>
          <w:rFonts w:hint="eastAsia" w:ascii="Times New Roman" w:hAnsi="Times New Roman"/>
          <w:color w:val="auto"/>
          <w:kern w:val="0"/>
          <w:szCs w:val="20"/>
          <w:highlight w:val="none"/>
        </w:rPr>
        <w:t>m</w:t>
      </w:r>
      <w:r>
        <w:rPr>
          <w:rFonts w:ascii="Times New Roman" w:hAnsi="Times New Roman"/>
          <w:color w:val="auto"/>
          <w:kern w:val="0"/>
          <w:szCs w:val="20"/>
          <w:highlight w:val="none"/>
        </w:rPr>
        <w:t>g</w:t>
      </w:r>
      <w:r>
        <w:rPr>
          <w:rFonts w:hint="eastAsia" w:ascii="Times New Roman" w:hAnsi="Times New Roman"/>
          <w:color w:val="auto"/>
          <w:kern w:val="0"/>
          <w:szCs w:val="20"/>
          <w:highlight w:val="none"/>
        </w:rPr>
        <w:t>。</w:t>
      </w:r>
    </w:p>
    <w:p>
      <w:pPr>
        <w:widowControl/>
        <w:adjustRightInd/>
        <w:spacing w:line="360" w:lineRule="exact"/>
        <w:ind w:firstLine="420" w:firstLineChars="200"/>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分别</w:t>
      </w:r>
      <w:r>
        <w:rPr>
          <w:rFonts w:ascii="Times New Roman" w:hAnsi="Times New Roman"/>
          <w:color w:val="auto"/>
          <w:kern w:val="0"/>
          <w:szCs w:val="20"/>
          <w:highlight w:val="none"/>
        </w:rPr>
        <w:t>移取10.00 mL</w:t>
      </w:r>
      <w:r>
        <w:rPr>
          <w:rFonts w:hint="eastAsia" w:ascii="Times New Roman" w:hAnsi="Times New Roman"/>
          <w:color w:val="auto"/>
          <w:kern w:val="0"/>
          <w:szCs w:val="20"/>
          <w:highlight w:val="none"/>
        </w:rPr>
        <w:t>钙、镉、铬、镁、铅、硅、锌混合标准溶液A（见6.4.2.2），</w:t>
      </w:r>
      <w:r>
        <w:rPr>
          <w:rFonts w:ascii="Times New Roman" w:hAnsi="Times New Roman"/>
          <w:color w:val="auto"/>
          <w:kern w:val="0"/>
          <w:szCs w:val="20"/>
          <w:highlight w:val="none"/>
        </w:rPr>
        <w:t>置于100 mL容量瓶中，加</w:t>
      </w:r>
      <w:r>
        <w:rPr>
          <w:rFonts w:hint="eastAsia" w:ascii="Times New Roman" w:hAnsi="Times New Roman"/>
          <w:color w:val="auto"/>
          <w:kern w:val="0"/>
          <w:szCs w:val="20"/>
          <w:highlight w:val="none"/>
        </w:rPr>
        <w:t>5</w:t>
      </w:r>
      <w:r>
        <w:rPr>
          <w:rFonts w:ascii="Times New Roman" w:hAnsi="Times New Roman"/>
          <w:color w:val="auto"/>
          <w:kern w:val="0"/>
          <w:szCs w:val="20"/>
          <w:highlight w:val="none"/>
        </w:rPr>
        <w:t xml:space="preserve"> mL盐酸</w:t>
      </w:r>
      <w:r>
        <w:rPr>
          <w:rFonts w:hint="eastAsia" w:ascii="Times New Roman" w:hAnsi="Times New Roman"/>
          <w:color w:val="auto"/>
          <w:kern w:val="0"/>
          <w:szCs w:val="20"/>
          <w:highlight w:val="none"/>
        </w:rPr>
        <w:t>溶液</w:t>
      </w:r>
      <w:r>
        <w:rPr>
          <w:rFonts w:ascii="Times New Roman" w:hAnsi="Times New Roman"/>
          <w:color w:val="auto"/>
          <w:kern w:val="0"/>
          <w:szCs w:val="20"/>
          <w:highlight w:val="none"/>
        </w:rPr>
        <w:t>，</w:t>
      </w:r>
      <w:r>
        <w:rPr>
          <w:rFonts w:hint="eastAsia" w:ascii="Times New Roman" w:hAnsi="Times New Roman"/>
          <w:color w:val="auto"/>
          <w:kern w:val="0"/>
          <w:szCs w:val="20"/>
          <w:highlight w:val="none"/>
        </w:rPr>
        <w:t>用</w:t>
      </w:r>
      <w:r>
        <w:rPr>
          <w:rFonts w:ascii="Times New Roman" w:hAnsi="Times New Roman"/>
          <w:color w:val="auto"/>
          <w:kern w:val="0"/>
          <w:szCs w:val="20"/>
          <w:highlight w:val="none"/>
        </w:rPr>
        <w:t>水稀释至刻度，</w:t>
      </w:r>
      <w:r>
        <w:rPr>
          <w:rFonts w:hint="eastAsia" w:ascii="Times New Roman" w:hAnsi="Times New Roman"/>
          <w:color w:val="auto"/>
          <w:kern w:val="0"/>
          <w:szCs w:val="20"/>
          <w:highlight w:val="none"/>
        </w:rPr>
        <w:t>摇</w:t>
      </w:r>
      <w:r>
        <w:rPr>
          <w:rFonts w:ascii="Times New Roman" w:hAnsi="Times New Roman"/>
          <w:color w:val="auto"/>
          <w:kern w:val="0"/>
          <w:szCs w:val="20"/>
          <w:highlight w:val="none"/>
        </w:rPr>
        <w:t>匀。</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硫</w:t>
      </w:r>
      <w:r>
        <w:rPr>
          <w:rFonts w:ascii="Times New Roman" w:hAnsi="Times New Roman"/>
          <w:color w:val="auto"/>
          <w:kern w:val="0"/>
          <w:szCs w:val="20"/>
          <w:highlight w:val="none"/>
        </w:rPr>
        <w:t>标准溶液：1 mL溶液含</w:t>
      </w:r>
      <w:r>
        <w:rPr>
          <w:rFonts w:hint="eastAsia" w:ascii="Times New Roman" w:hAnsi="Times New Roman"/>
          <w:color w:val="auto"/>
          <w:kern w:val="0"/>
          <w:szCs w:val="20"/>
          <w:highlight w:val="none"/>
        </w:rPr>
        <w:t>硫（S）0.01</w:t>
      </w:r>
      <w:r>
        <w:rPr>
          <w:rFonts w:ascii="Times New Roman" w:hAnsi="Times New Roman"/>
          <w:color w:val="auto"/>
          <w:kern w:val="0"/>
          <w:szCs w:val="20"/>
          <w:highlight w:val="none"/>
        </w:rPr>
        <w:t xml:space="preserve"> </w:t>
      </w:r>
      <w:r>
        <w:rPr>
          <w:rFonts w:hint="eastAsia" w:ascii="Times New Roman" w:hAnsi="Times New Roman"/>
          <w:color w:val="auto"/>
          <w:kern w:val="0"/>
          <w:szCs w:val="20"/>
          <w:highlight w:val="none"/>
        </w:rPr>
        <w:t>m</w:t>
      </w:r>
      <w:r>
        <w:rPr>
          <w:rFonts w:ascii="Times New Roman" w:hAnsi="Times New Roman"/>
          <w:color w:val="auto"/>
          <w:kern w:val="0"/>
          <w:szCs w:val="20"/>
          <w:highlight w:val="none"/>
        </w:rPr>
        <w:t>g</w:t>
      </w:r>
      <w:r>
        <w:rPr>
          <w:rFonts w:hint="eastAsia" w:ascii="Times New Roman" w:hAnsi="Times New Roman"/>
          <w:color w:val="auto"/>
          <w:kern w:val="0"/>
          <w:szCs w:val="20"/>
          <w:highlight w:val="none"/>
        </w:rPr>
        <w:t>。</w:t>
      </w:r>
    </w:p>
    <w:p>
      <w:pPr>
        <w:widowControl/>
        <w:adjustRightInd/>
        <w:spacing w:line="360" w:lineRule="exact"/>
        <w:ind w:firstLine="420" w:firstLineChars="200"/>
        <w:outlineLvl w:val="3"/>
        <w:rPr>
          <w:rFonts w:ascii="Times New Roman" w:hAnsi="Times New Roman"/>
          <w:color w:val="auto"/>
          <w:kern w:val="0"/>
          <w:szCs w:val="20"/>
          <w:highlight w:val="none"/>
        </w:rPr>
      </w:pPr>
      <w:r>
        <w:rPr>
          <w:rFonts w:ascii="Times New Roman" w:hAnsi="Times New Roman"/>
          <w:color w:val="auto"/>
          <w:kern w:val="0"/>
          <w:szCs w:val="20"/>
          <w:highlight w:val="none"/>
        </w:rPr>
        <w:t>移取1.00 mL</w:t>
      </w:r>
      <w:r>
        <w:rPr>
          <w:rFonts w:hint="eastAsia" w:ascii="Times New Roman" w:hAnsi="Times New Roman"/>
          <w:color w:val="auto"/>
          <w:kern w:val="0"/>
          <w:szCs w:val="20"/>
          <w:highlight w:val="none"/>
        </w:rPr>
        <w:t>按</w:t>
      </w:r>
      <w:r>
        <w:rPr>
          <w:rFonts w:ascii="Times New Roman" w:hAnsi="Times New Roman"/>
          <w:color w:val="auto"/>
          <w:highlight w:val="none"/>
        </w:rPr>
        <w:t>HG/T 3696.2</w:t>
      </w:r>
      <w:r>
        <w:rPr>
          <w:rFonts w:hint="eastAsia" w:ascii="Times New Roman" w:hAnsi="Times New Roman"/>
          <w:color w:val="auto"/>
          <w:highlight w:val="none"/>
        </w:rPr>
        <w:t>配制（或市售）</w:t>
      </w:r>
      <w:r>
        <w:rPr>
          <w:rFonts w:hint="eastAsia" w:ascii="Times New Roman" w:hAnsi="Times New Roman"/>
          <w:color w:val="auto"/>
          <w:kern w:val="0"/>
          <w:szCs w:val="20"/>
          <w:highlight w:val="none"/>
        </w:rPr>
        <w:t>硫</w:t>
      </w:r>
      <w:r>
        <w:rPr>
          <w:rFonts w:ascii="Times New Roman" w:hAnsi="Times New Roman"/>
          <w:color w:val="auto"/>
          <w:kern w:val="0"/>
          <w:szCs w:val="20"/>
          <w:highlight w:val="none"/>
        </w:rPr>
        <w:t>标准溶液（</w:t>
      </w:r>
      <w:r>
        <w:rPr>
          <w:rFonts w:hint="eastAsia" w:ascii="Times New Roman" w:hAnsi="Times New Roman"/>
          <w:color w:val="auto"/>
          <w:kern w:val="0"/>
          <w:szCs w:val="20"/>
          <w:highlight w:val="none"/>
        </w:rPr>
        <w:t>1 mg/mL</w:t>
      </w:r>
      <w:r>
        <w:rPr>
          <w:rFonts w:ascii="Times New Roman" w:hAnsi="Times New Roman"/>
          <w:color w:val="auto"/>
          <w:kern w:val="0"/>
          <w:szCs w:val="20"/>
          <w:highlight w:val="none"/>
        </w:rPr>
        <w:t>），置于100 mL容量瓶中，用水稀释至刻度，</w:t>
      </w:r>
      <w:r>
        <w:rPr>
          <w:rFonts w:hint="eastAsia" w:ascii="Times New Roman" w:hAnsi="Times New Roman"/>
          <w:color w:val="auto"/>
          <w:kern w:val="0"/>
          <w:szCs w:val="20"/>
          <w:highlight w:val="none"/>
        </w:rPr>
        <w:t>摇</w:t>
      </w:r>
      <w:r>
        <w:rPr>
          <w:rFonts w:ascii="Times New Roman" w:hAnsi="Times New Roman"/>
          <w:color w:val="auto"/>
          <w:kern w:val="0"/>
          <w:szCs w:val="20"/>
          <w:highlight w:val="none"/>
        </w:rPr>
        <w:t>匀。</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水：符合GB/T 6682规定的二级水。</w:t>
      </w:r>
    </w:p>
    <w:p>
      <w:pPr>
        <w:pStyle w:val="71"/>
        <w:spacing w:before="120" w:after="120" w:line="360" w:lineRule="exact"/>
        <w:ind w:left="0"/>
        <w:rPr>
          <w:color w:val="auto"/>
          <w:highlight w:val="none"/>
        </w:rPr>
      </w:pPr>
      <w:r>
        <w:rPr>
          <w:rFonts w:hint="eastAsia"/>
          <w:color w:val="auto"/>
          <w:highlight w:val="none"/>
        </w:rPr>
        <w:t>仪器设备</w:t>
      </w:r>
    </w:p>
    <w:p>
      <w:pPr>
        <w:widowControl/>
        <w:adjustRightInd/>
        <w:spacing w:line="360" w:lineRule="exact"/>
        <w:ind w:firstLine="420" w:firstLineChars="200"/>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电感耦合等离子体原子发射光谱仪</w:t>
      </w:r>
      <w:r>
        <w:rPr>
          <w:rFonts w:hint="eastAsia"/>
          <w:color w:val="auto"/>
          <w:highlight w:val="none"/>
        </w:rPr>
        <w:t>（</w:t>
      </w:r>
      <w:r>
        <w:rPr>
          <w:rFonts w:ascii="Times New Roman"/>
          <w:color w:val="auto"/>
          <w:highlight w:val="none"/>
        </w:rPr>
        <w:t>ICP-OES</w:t>
      </w:r>
      <w:r>
        <w:rPr>
          <w:rFonts w:hint="eastAsia"/>
          <w:color w:val="auto"/>
          <w:highlight w:val="none"/>
        </w:rPr>
        <w:t>）</w:t>
      </w:r>
      <w:r>
        <w:rPr>
          <w:rFonts w:hint="eastAsia" w:ascii="Times New Roman" w:hAnsi="Times New Roman"/>
          <w:color w:val="auto"/>
          <w:kern w:val="0"/>
          <w:szCs w:val="20"/>
          <w:highlight w:val="none"/>
        </w:rPr>
        <w:t>。</w:t>
      </w:r>
    </w:p>
    <w:p>
      <w:pPr>
        <w:pStyle w:val="71"/>
        <w:spacing w:before="120" w:after="120" w:line="360" w:lineRule="exact"/>
        <w:ind w:left="0"/>
        <w:rPr>
          <w:color w:val="auto"/>
          <w:highlight w:val="none"/>
        </w:rPr>
      </w:pPr>
      <w:r>
        <w:rPr>
          <w:rFonts w:hint="eastAsia"/>
          <w:color w:val="auto"/>
          <w:highlight w:val="none"/>
        </w:rPr>
        <w:t>试验步骤</w:t>
      </w:r>
    </w:p>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标准曲线的绘制</w:t>
      </w:r>
    </w:p>
    <w:p>
      <w:pPr>
        <w:pStyle w:val="219"/>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hint="eastAsia" w:ascii="Times New Roman"/>
          <w:color w:val="auto"/>
          <w:highlight w:val="none"/>
        </w:rPr>
      </w:pPr>
      <w:r>
        <w:rPr>
          <w:rFonts w:hint="eastAsia" w:ascii="Times New Roman"/>
          <w:color w:val="auto"/>
          <w:highlight w:val="none"/>
        </w:rPr>
        <w:t>按表5的规定移取对应的标准溶液，分别置于2组各6个100 mL容量瓶中，分别加5 mL盐酸溶液，用水稀释至刻度，摇匀。</w:t>
      </w:r>
    </w:p>
    <w:p>
      <w:pPr>
        <w:pStyle w:val="219"/>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ascii="Times New Roman"/>
          <w:color w:val="auto"/>
          <w:highlight w:val="none"/>
        </w:rPr>
      </w:pPr>
      <w:r>
        <w:rPr>
          <w:rFonts w:hint="eastAsia" w:ascii="Times New Roman"/>
          <w:color w:val="auto"/>
          <w:highlight w:val="none"/>
        </w:rPr>
        <w:t>在电感耦合等离子体原子发射光谱仪上，按表6规定的分析谱线波长，</w:t>
      </w:r>
      <w:r>
        <w:rPr>
          <w:rFonts w:hint="eastAsia"/>
          <w:color w:val="auto"/>
          <w:highlight w:val="none"/>
        </w:rPr>
        <w:t>按浓度由低至高的顺序对标准系列溶液进行测</w:t>
      </w:r>
      <w:r>
        <w:rPr>
          <w:rFonts w:hint="eastAsia"/>
          <w:color w:val="auto"/>
          <w:highlight w:val="none"/>
          <w:lang w:val="en-US" w:eastAsia="zh-CN"/>
        </w:rPr>
        <w:t>量</w:t>
      </w:r>
      <w:r>
        <w:rPr>
          <w:rFonts w:hint="eastAsia" w:ascii="Times New Roman"/>
          <w:color w:val="auto"/>
          <w:highlight w:val="none"/>
        </w:rPr>
        <w:t>。从每个标准溶液的发射光谱强度减去试剂空白溶液的发射光谱强度，以待测元素的质量浓度（</w:t>
      </w:r>
      <w:r>
        <w:rPr>
          <w:rFonts w:ascii="Times New Roman"/>
          <w:color w:val="auto"/>
          <w:highlight w:val="none"/>
        </w:rPr>
        <w:t>μg/mL</w:t>
      </w:r>
      <w:r>
        <w:rPr>
          <w:rFonts w:hint="eastAsia" w:ascii="Times New Roman"/>
          <w:color w:val="auto"/>
          <w:highlight w:val="none"/>
        </w:rPr>
        <w:t>）为横坐标，对应的发射光谱强度为纵坐标，绘制标准曲线。</w:t>
      </w:r>
    </w:p>
    <w:p>
      <w:pPr>
        <w:pStyle w:val="83"/>
        <w:numPr>
          <w:ilvl w:val="1"/>
          <w:numId w:val="0"/>
        </w:numPr>
        <w:spacing w:before="120" w:after="120"/>
        <w:rPr>
          <w:color w:val="auto"/>
          <w:highlight w:val="none"/>
        </w:rPr>
      </w:pPr>
      <w:r>
        <w:rPr>
          <w:rFonts w:hint="eastAsia"/>
          <w:color w:val="auto"/>
          <w:highlight w:val="none"/>
        </w:rPr>
        <w:t>表5  标准溶液移取体积</w:t>
      </w:r>
    </w:p>
    <w:tbl>
      <w:tblPr>
        <w:tblStyle w:val="32"/>
        <w:tblW w:w="9032" w:type="dxa"/>
        <w:tblInd w:w="-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1950"/>
        <w:gridCol w:w="2211"/>
        <w:gridCol w:w="724"/>
        <w:gridCol w:w="724"/>
        <w:gridCol w:w="724"/>
        <w:gridCol w:w="724"/>
        <w:gridCol w:w="724"/>
        <w:gridCol w:w="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序号</w:t>
            </w:r>
          </w:p>
        </w:tc>
        <w:tc>
          <w:tcPr>
            <w:tcW w:w="1950"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标准曲线名称</w:t>
            </w:r>
          </w:p>
        </w:tc>
        <w:tc>
          <w:tcPr>
            <w:tcW w:w="2211"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标准溶液名称</w:t>
            </w:r>
          </w:p>
        </w:tc>
        <w:tc>
          <w:tcPr>
            <w:tcW w:w="4346" w:type="dxa"/>
            <w:gridSpan w:val="6"/>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标准溶液移取体积/mL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Mar>
              <w:top w:w="0" w:type="dxa"/>
              <w:left w:w="57" w:type="dxa"/>
              <w:bottom w:w="0" w:type="dxa"/>
              <w:right w:w="57" w:type="dxa"/>
            </w:tcMar>
            <w:vAlign w:val="center"/>
          </w:tcPr>
          <w:p>
            <w:pPr>
              <w:pStyle w:val="219"/>
              <w:numPr>
                <w:ilvl w:val="0"/>
                <w:numId w:val="0"/>
              </w:numPr>
              <w:jc w:val="center"/>
              <w:rPr>
                <w:rFonts w:ascii="Times New Roman"/>
                <w:color w:val="auto"/>
                <w:sz w:val="18"/>
                <w:szCs w:val="18"/>
                <w:highlight w:val="none"/>
              </w:rPr>
            </w:pPr>
            <w:r>
              <w:rPr>
                <w:rFonts w:hint="eastAsia" w:ascii="Times New Roman"/>
                <w:color w:val="auto"/>
                <w:sz w:val="18"/>
                <w:szCs w:val="18"/>
                <w:highlight w:val="none"/>
              </w:rPr>
              <w:t>1</w:t>
            </w:r>
          </w:p>
        </w:tc>
        <w:tc>
          <w:tcPr>
            <w:tcW w:w="1950" w:type="dxa"/>
            <w:tcMar>
              <w:top w:w="0" w:type="dxa"/>
              <w:left w:w="57" w:type="dxa"/>
              <w:bottom w:w="0" w:type="dxa"/>
              <w:right w:w="57" w:type="dxa"/>
            </w:tcMar>
            <w:vAlign w:val="center"/>
          </w:tcPr>
          <w:p>
            <w:pPr>
              <w:pStyle w:val="219"/>
              <w:numPr>
                <w:ilvl w:val="0"/>
                <w:numId w:val="0"/>
              </w:numPr>
              <w:jc w:val="center"/>
              <w:rPr>
                <w:rFonts w:ascii="Times New Roman"/>
                <w:color w:val="auto"/>
                <w:sz w:val="18"/>
                <w:szCs w:val="18"/>
                <w:highlight w:val="none"/>
              </w:rPr>
            </w:pPr>
            <w:r>
              <w:rPr>
                <w:rFonts w:hint="eastAsia" w:ascii="Times New Roman"/>
                <w:color w:val="auto"/>
                <w:sz w:val="18"/>
                <w:szCs w:val="18"/>
                <w:highlight w:val="none"/>
              </w:rPr>
              <w:t>镉、铬、铅、硅、钙、镁、锌标准曲线</w:t>
            </w:r>
          </w:p>
        </w:tc>
        <w:tc>
          <w:tcPr>
            <w:tcW w:w="2211" w:type="dxa"/>
            <w:tcMar>
              <w:top w:w="0" w:type="dxa"/>
              <w:left w:w="57" w:type="dxa"/>
              <w:bottom w:w="0" w:type="dxa"/>
              <w:right w:w="57" w:type="dxa"/>
            </w:tcMar>
            <w:vAlign w:val="center"/>
          </w:tcPr>
          <w:p>
            <w:pPr>
              <w:pStyle w:val="219"/>
              <w:numPr>
                <w:ilvl w:val="0"/>
                <w:numId w:val="0"/>
              </w:numPr>
              <w:jc w:val="center"/>
              <w:rPr>
                <w:rFonts w:ascii="Times New Roman"/>
                <w:color w:val="auto"/>
                <w:sz w:val="18"/>
                <w:szCs w:val="18"/>
                <w:highlight w:val="none"/>
              </w:rPr>
            </w:pPr>
            <w:r>
              <w:rPr>
                <w:rFonts w:hint="eastAsia" w:ascii="Times New Roman"/>
                <w:color w:val="auto"/>
                <w:sz w:val="18"/>
                <w:szCs w:val="18"/>
                <w:highlight w:val="none"/>
              </w:rPr>
              <w:t>镉、铬、铅、硅、钙、镁、锌</w:t>
            </w:r>
            <w:r>
              <w:rPr>
                <w:rFonts w:ascii="Times New Roman"/>
                <w:color w:val="auto"/>
                <w:kern w:val="0"/>
                <w:sz w:val="18"/>
                <w:szCs w:val="18"/>
                <w:highlight w:val="none"/>
              </w:rPr>
              <w:t>混合标准溶液</w:t>
            </w:r>
            <w:r>
              <w:rPr>
                <w:rFonts w:hint="eastAsia" w:ascii="Times New Roman"/>
                <w:color w:val="auto"/>
                <w:kern w:val="0"/>
                <w:sz w:val="18"/>
                <w:szCs w:val="18"/>
                <w:highlight w:val="none"/>
              </w:rPr>
              <w:t>B（6.4.2.3）</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0.00</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1.00</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2.00</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5.00</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10.00</w:t>
            </w:r>
          </w:p>
        </w:tc>
        <w:tc>
          <w:tcPr>
            <w:tcW w:w="726"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Mar>
              <w:top w:w="0" w:type="dxa"/>
              <w:left w:w="57" w:type="dxa"/>
              <w:bottom w:w="0" w:type="dxa"/>
              <w:right w:w="57" w:type="dxa"/>
            </w:tcMar>
            <w:vAlign w:val="center"/>
          </w:tcPr>
          <w:p>
            <w:pPr>
              <w:pStyle w:val="219"/>
              <w:numPr>
                <w:ilvl w:val="0"/>
                <w:numId w:val="0"/>
              </w:numPr>
              <w:jc w:val="center"/>
              <w:rPr>
                <w:rFonts w:ascii="Times New Roman"/>
                <w:color w:val="auto"/>
                <w:sz w:val="18"/>
                <w:szCs w:val="18"/>
                <w:highlight w:val="none"/>
              </w:rPr>
            </w:pPr>
            <w:r>
              <w:rPr>
                <w:rFonts w:hint="eastAsia" w:ascii="Times New Roman"/>
                <w:color w:val="auto"/>
                <w:sz w:val="18"/>
                <w:szCs w:val="18"/>
                <w:highlight w:val="none"/>
              </w:rPr>
              <w:t>2</w:t>
            </w:r>
          </w:p>
        </w:tc>
        <w:tc>
          <w:tcPr>
            <w:tcW w:w="1950" w:type="dxa"/>
            <w:tcMar>
              <w:top w:w="0" w:type="dxa"/>
              <w:left w:w="57" w:type="dxa"/>
              <w:bottom w:w="0" w:type="dxa"/>
              <w:right w:w="57" w:type="dxa"/>
            </w:tcMar>
            <w:vAlign w:val="center"/>
          </w:tcPr>
          <w:p>
            <w:pPr>
              <w:pStyle w:val="219"/>
              <w:numPr>
                <w:ilvl w:val="0"/>
                <w:numId w:val="0"/>
              </w:numPr>
              <w:jc w:val="center"/>
              <w:rPr>
                <w:rFonts w:ascii="Times New Roman"/>
                <w:color w:val="auto"/>
                <w:sz w:val="18"/>
                <w:szCs w:val="18"/>
                <w:highlight w:val="none"/>
              </w:rPr>
            </w:pPr>
            <w:r>
              <w:rPr>
                <w:rFonts w:hint="eastAsia" w:ascii="Times New Roman"/>
                <w:color w:val="auto"/>
                <w:sz w:val="18"/>
                <w:szCs w:val="18"/>
                <w:highlight w:val="none"/>
              </w:rPr>
              <w:t>硫标准曲线</w:t>
            </w:r>
          </w:p>
        </w:tc>
        <w:tc>
          <w:tcPr>
            <w:tcW w:w="2211" w:type="dxa"/>
            <w:tcMar>
              <w:top w:w="0" w:type="dxa"/>
              <w:left w:w="57" w:type="dxa"/>
              <w:bottom w:w="0" w:type="dxa"/>
              <w:right w:w="57" w:type="dxa"/>
            </w:tcMar>
            <w:vAlign w:val="center"/>
          </w:tcPr>
          <w:p>
            <w:pPr>
              <w:pStyle w:val="219"/>
              <w:numPr>
                <w:ilvl w:val="0"/>
                <w:numId w:val="0"/>
              </w:numPr>
              <w:jc w:val="center"/>
              <w:rPr>
                <w:rFonts w:ascii="Times New Roman"/>
                <w:color w:val="auto"/>
                <w:sz w:val="18"/>
                <w:szCs w:val="18"/>
                <w:highlight w:val="none"/>
              </w:rPr>
            </w:pPr>
            <w:r>
              <w:rPr>
                <w:rFonts w:hint="eastAsia" w:ascii="Times New Roman"/>
                <w:color w:val="auto"/>
                <w:kern w:val="0"/>
                <w:sz w:val="18"/>
                <w:szCs w:val="18"/>
                <w:highlight w:val="none"/>
              </w:rPr>
              <w:t>硫</w:t>
            </w:r>
            <w:r>
              <w:rPr>
                <w:rFonts w:ascii="Times New Roman"/>
                <w:color w:val="auto"/>
                <w:kern w:val="0"/>
                <w:sz w:val="18"/>
                <w:szCs w:val="18"/>
                <w:highlight w:val="none"/>
              </w:rPr>
              <w:t>标准溶液</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0.00</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1.00</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2.00</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5.00</w:t>
            </w:r>
          </w:p>
        </w:tc>
        <w:tc>
          <w:tcPr>
            <w:tcW w:w="724"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10.00</w:t>
            </w:r>
          </w:p>
        </w:tc>
        <w:tc>
          <w:tcPr>
            <w:tcW w:w="726" w:type="dxa"/>
            <w:tcMar>
              <w:top w:w="0" w:type="dxa"/>
              <w:left w:w="57" w:type="dxa"/>
              <w:bottom w:w="0" w:type="dxa"/>
              <w:right w:w="57" w:type="dxa"/>
            </w:tcMar>
            <w:vAlign w:val="center"/>
          </w:tcPr>
          <w:p>
            <w:pPr>
              <w:pStyle w:val="219"/>
              <w:numPr>
                <w:ilvl w:val="0"/>
                <w:numId w:val="0"/>
              </w:numPr>
              <w:spacing w:line="360" w:lineRule="exact"/>
              <w:jc w:val="center"/>
              <w:rPr>
                <w:rFonts w:ascii="Times New Roman"/>
                <w:color w:val="auto"/>
                <w:sz w:val="18"/>
                <w:szCs w:val="18"/>
                <w:highlight w:val="none"/>
              </w:rPr>
            </w:pPr>
            <w:r>
              <w:rPr>
                <w:rFonts w:hint="eastAsia" w:ascii="Times New Roman"/>
                <w:color w:val="auto"/>
                <w:sz w:val="18"/>
                <w:szCs w:val="18"/>
                <w:highlight w:val="none"/>
              </w:rPr>
              <w:t>20.00</w:t>
            </w:r>
          </w:p>
        </w:tc>
      </w:tr>
    </w:tbl>
    <w:p>
      <w:pPr>
        <w:pStyle w:val="83"/>
        <w:numPr>
          <w:ilvl w:val="1"/>
          <w:numId w:val="0"/>
        </w:numPr>
        <w:spacing w:before="120" w:after="120"/>
        <w:rPr>
          <w:color w:val="auto"/>
          <w:highlight w:val="none"/>
        </w:rPr>
      </w:pPr>
      <w:r>
        <w:rPr>
          <w:rFonts w:hint="eastAsia"/>
          <w:color w:val="auto"/>
          <w:highlight w:val="none"/>
        </w:rPr>
        <w:t>表6  元素分析谱线</w:t>
      </w:r>
    </w:p>
    <w:tbl>
      <w:tblPr>
        <w:tblStyle w:val="3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916"/>
        <w:gridCol w:w="916"/>
        <w:gridCol w:w="916"/>
        <w:gridCol w:w="916"/>
        <w:gridCol w:w="916"/>
        <w:gridCol w:w="916"/>
        <w:gridCol w:w="923"/>
        <w:gridCol w:w="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6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ascii="Times New Roman" w:hAnsi="Times New Roman"/>
                <w:color w:val="auto"/>
                <w:sz w:val="18"/>
                <w:szCs w:val="18"/>
                <w:highlight w:val="none"/>
              </w:rPr>
              <w:t>元素</w:t>
            </w:r>
          </w:p>
        </w:tc>
        <w:tc>
          <w:tcPr>
            <w:tcW w:w="916"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olor w:val="auto"/>
                <w:sz w:val="18"/>
                <w:szCs w:val="18"/>
                <w:highlight w:val="none"/>
              </w:rPr>
              <w:t>Cd</w:t>
            </w:r>
          </w:p>
        </w:tc>
        <w:tc>
          <w:tcPr>
            <w:tcW w:w="916"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color w:val="auto"/>
                <w:sz w:val="18"/>
                <w:szCs w:val="18"/>
                <w:highlight w:val="none"/>
              </w:rPr>
              <w:t>Cr</w:t>
            </w:r>
          </w:p>
        </w:tc>
        <w:tc>
          <w:tcPr>
            <w:tcW w:w="916"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olor w:val="auto"/>
                <w:sz w:val="18"/>
                <w:szCs w:val="18"/>
                <w:highlight w:val="none"/>
              </w:rPr>
              <w:t>Pb</w:t>
            </w:r>
          </w:p>
        </w:tc>
        <w:tc>
          <w:tcPr>
            <w:tcW w:w="916"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color w:val="auto"/>
                <w:sz w:val="18"/>
                <w:szCs w:val="18"/>
                <w:highlight w:val="none"/>
              </w:rPr>
              <w:t>Si</w:t>
            </w:r>
          </w:p>
        </w:tc>
        <w:tc>
          <w:tcPr>
            <w:tcW w:w="916"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ascii="Times New Roman" w:hAnsi="Times New Roman"/>
                <w:color w:val="auto"/>
                <w:sz w:val="18"/>
                <w:szCs w:val="18"/>
                <w:highlight w:val="none"/>
              </w:rPr>
              <w:t>Ca</w:t>
            </w:r>
          </w:p>
        </w:tc>
        <w:tc>
          <w:tcPr>
            <w:tcW w:w="916"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ascii="Times New Roman" w:hAnsi="Times New Roman"/>
                <w:color w:val="auto"/>
                <w:sz w:val="18"/>
                <w:szCs w:val="18"/>
                <w:highlight w:val="none"/>
              </w:rPr>
              <w:t>Mg</w:t>
            </w:r>
          </w:p>
        </w:tc>
        <w:tc>
          <w:tcPr>
            <w:tcW w:w="923"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olor w:val="auto"/>
                <w:sz w:val="18"/>
                <w:szCs w:val="18"/>
                <w:highlight w:val="none"/>
              </w:rPr>
              <w:t>Zn</w:t>
            </w:r>
          </w:p>
        </w:tc>
        <w:tc>
          <w:tcPr>
            <w:tcW w:w="916"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ascii="Times New Roman" w:hAnsi="Times New Roman"/>
                <w:color w:val="auto"/>
                <w:sz w:val="18"/>
                <w:szCs w:val="18"/>
                <w:highlight w:val="none"/>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6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hint="eastAsia" w:ascii="Times New Roman" w:hAnsi="Times New Roman"/>
                <w:color w:val="auto"/>
                <w:sz w:val="18"/>
                <w:szCs w:val="18"/>
                <w:highlight w:val="none"/>
              </w:rPr>
              <w:t>元素分析谱线</w:t>
            </w:r>
            <w:r>
              <w:rPr>
                <w:rFonts w:ascii="Times New Roman" w:hAnsi="Times New Roman"/>
                <w:color w:val="auto"/>
                <w:sz w:val="18"/>
                <w:szCs w:val="18"/>
                <w:highlight w:val="none"/>
              </w:rPr>
              <w:t>波长/nm</w:t>
            </w:r>
          </w:p>
        </w:tc>
        <w:tc>
          <w:tcPr>
            <w:tcW w:w="916"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olor w:val="auto"/>
                <w:sz w:val="18"/>
                <w:szCs w:val="18"/>
                <w:highlight w:val="none"/>
              </w:rPr>
              <w:t>228.802</w:t>
            </w:r>
          </w:p>
        </w:tc>
        <w:tc>
          <w:tcPr>
            <w:tcW w:w="916"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color w:val="auto"/>
                <w:sz w:val="18"/>
                <w:szCs w:val="18"/>
                <w:highlight w:val="none"/>
              </w:rPr>
              <w:t>283.563</w:t>
            </w:r>
          </w:p>
        </w:tc>
        <w:tc>
          <w:tcPr>
            <w:tcW w:w="916"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olor w:val="auto"/>
                <w:sz w:val="18"/>
                <w:szCs w:val="18"/>
                <w:highlight w:val="none"/>
              </w:rPr>
              <w:t>182.205</w:t>
            </w:r>
          </w:p>
        </w:tc>
        <w:tc>
          <w:tcPr>
            <w:tcW w:w="916"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color w:val="auto"/>
                <w:sz w:val="18"/>
                <w:szCs w:val="18"/>
                <w:highlight w:val="none"/>
              </w:rPr>
              <w:t>212.412</w:t>
            </w:r>
          </w:p>
        </w:tc>
        <w:tc>
          <w:tcPr>
            <w:tcW w:w="916"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ascii="Times New Roman" w:hAnsi="Times New Roman"/>
                <w:color w:val="auto"/>
                <w:sz w:val="18"/>
                <w:szCs w:val="18"/>
                <w:highlight w:val="none"/>
              </w:rPr>
              <w:t>393.366</w:t>
            </w:r>
          </w:p>
        </w:tc>
        <w:tc>
          <w:tcPr>
            <w:tcW w:w="916"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ascii="Times New Roman" w:hAnsi="Times New Roman"/>
                <w:color w:val="auto"/>
                <w:sz w:val="18"/>
                <w:szCs w:val="18"/>
                <w:highlight w:val="none"/>
              </w:rPr>
              <w:t>279.553</w:t>
            </w:r>
          </w:p>
        </w:tc>
        <w:tc>
          <w:tcPr>
            <w:tcW w:w="923"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olor w:val="auto"/>
                <w:sz w:val="18"/>
                <w:szCs w:val="18"/>
                <w:highlight w:val="none"/>
              </w:rPr>
              <w:t>206.200</w:t>
            </w:r>
          </w:p>
        </w:tc>
        <w:tc>
          <w:tcPr>
            <w:tcW w:w="916" w:type="dxa"/>
            <w:tcBorders>
              <w:top w:val="single" w:color="auto" w:sz="4" w:space="0"/>
              <w:left w:val="nil"/>
              <w:bottom w:val="single" w:color="auto" w:sz="4" w:space="0"/>
              <w:right w:val="single" w:color="auto" w:sz="4" w:space="0"/>
            </w:tcBorders>
            <w:vAlign w:val="center"/>
          </w:tcPr>
          <w:p>
            <w:pPr>
              <w:spacing w:line="240" w:lineRule="auto"/>
              <w:jc w:val="center"/>
              <w:rPr>
                <w:rFonts w:ascii="Times New Roman" w:hAnsi="Times New Roman"/>
                <w:color w:val="auto"/>
                <w:sz w:val="18"/>
                <w:szCs w:val="18"/>
                <w:highlight w:val="none"/>
              </w:rPr>
            </w:pPr>
            <w:r>
              <w:rPr>
                <w:rFonts w:ascii="Times New Roman" w:hAnsi="Times New Roman"/>
                <w:color w:val="auto"/>
                <w:sz w:val="18"/>
                <w:szCs w:val="18"/>
                <w:highlight w:val="none"/>
              </w:rPr>
              <w:t>182.034</w:t>
            </w:r>
          </w:p>
        </w:tc>
      </w:tr>
    </w:tbl>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试验</w:t>
      </w:r>
    </w:p>
    <w:p>
      <w:pPr>
        <w:numPr>
          <w:ilvl w:val="5"/>
          <w:numId w:val="2"/>
        </w:numPr>
        <w:adjustRightInd/>
        <w:spacing w:beforeLines="50" w:afterLines="50" w:line="360" w:lineRule="exact"/>
        <w:ind w:left="0"/>
        <w:rPr>
          <w:rFonts w:ascii="黑体" w:hAnsi="黑体" w:eastAsia="黑体" w:cs="黑体"/>
          <w:color w:val="auto"/>
          <w:kern w:val="0"/>
          <w:szCs w:val="52"/>
          <w:highlight w:val="none"/>
        </w:rPr>
      </w:pPr>
      <w:r>
        <w:rPr>
          <w:rFonts w:hint="eastAsia" w:ascii="黑体" w:hAnsi="黑体" w:eastAsia="黑体" w:cs="黑体"/>
          <w:color w:val="auto"/>
          <w:kern w:val="0"/>
          <w:szCs w:val="52"/>
          <w:highlight w:val="none"/>
        </w:rPr>
        <w:t>钙</w:t>
      </w:r>
      <w:r>
        <w:rPr>
          <w:rFonts w:hint="eastAsia" w:ascii="黑体" w:hAnsi="黑体" w:eastAsia="黑体" w:cs="黑体"/>
          <w:color w:val="auto"/>
          <w:kern w:val="0"/>
          <w:szCs w:val="52"/>
          <w:highlight w:val="none"/>
          <w:lang w:val="en-US" w:eastAsia="zh-CN"/>
        </w:rPr>
        <w:t>含量</w:t>
      </w:r>
      <w:r>
        <w:rPr>
          <w:rFonts w:hint="eastAsia" w:ascii="黑体" w:hAnsi="黑体" w:eastAsia="黑体" w:cs="黑体"/>
          <w:color w:val="auto"/>
          <w:kern w:val="0"/>
          <w:szCs w:val="52"/>
          <w:highlight w:val="none"/>
        </w:rPr>
        <w:t>、镉</w:t>
      </w:r>
      <w:r>
        <w:rPr>
          <w:rFonts w:hint="eastAsia" w:ascii="黑体" w:hAnsi="黑体" w:eastAsia="黑体" w:cs="黑体"/>
          <w:color w:val="auto"/>
          <w:kern w:val="0"/>
          <w:szCs w:val="52"/>
          <w:highlight w:val="none"/>
          <w:lang w:val="en-US" w:eastAsia="zh-CN"/>
        </w:rPr>
        <w:t>含量</w:t>
      </w:r>
      <w:r>
        <w:rPr>
          <w:rFonts w:hint="eastAsia" w:ascii="黑体" w:hAnsi="黑体" w:eastAsia="黑体" w:cs="黑体"/>
          <w:color w:val="auto"/>
          <w:kern w:val="0"/>
          <w:szCs w:val="52"/>
          <w:highlight w:val="none"/>
        </w:rPr>
        <w:t>、铬</w:t>
      </w:r>
      <w:r>
        <w:rPr>
          <w:rFonts w:hint="eastAsia" w:ascii="黑体" w:hAnsi="黑体" w:eastAsia="黑体" w:cs="黑体"/>
          <w:color w:val="auto"/>
          <w:kern w:val="0"/>
          <w:szCs w:val="52"/>
          <w:highlight w:val="none"/>
          <w:lang w:val="en-US" w:eastAsia="zh-CN"/>
        </w:rPr>
        <w:t>含量</w:t>
      </w:r>
      <w:r>
        <w:rPr>
          <w:rFonts w:hint="eastAsia" w:ascii="黑体" w:hAnsi="黑体" w:eastAsia="黑体" w:cs="黑体"/>
          <w:color w:val="auto"/>
          <w:kern w:val="0"/>
          <w:szCs w:val="52"/>
          <w:highlight w:val="none"/>
        </w:rPr>
        <w:t>、镁</w:t>
      </w:r>
      <w:r>
        <w:rPr>
          <w:rFonts w:hint="eastAsia" w:ascii="黑体" w:hAnsi="黑体" w:eastAsia="黑体" w:cs="黑体"/>
          <w:color w:val="auto"/>
          <w:kern w:val="0"/>
          <w:szCs w:val="52"/>
          <w:highlight w:val="none"/>
          <w:lang w:val="en-US" w:eastAsia="zh-CN"/>
        </w:rPr>
        <w:t>含量</w:t>
      </w:r>
      <w:r>
        <w:rPr>
          <w:rFonts w:hint="eastAsia" w:ascii="黑体" w:hAnsi="黑体" w:eastAsia="黑体" w:cs="黑体"/>
          <w:color w:val="auto"/>
          <w:kern w:val="0"/>
          <w:szCs w:val="52"/>
          <w:highlight w:val="none"/>
        </w:rPr>
        <w:t>、铅</w:t>
      </w:r>
      <w:r>
        <w:rPr>
          <w:rFonts w:hint="eastAsia" w:ascii="黑体" w:hAnsi="黑体" w:eastAsia="黑体" w:cs="黑体"/>
          <w:color w:val="auto"/>
          <w:kern w:val="0"/>
          <w:szCs w:val="52"/>
          <w:highlight w:val="none"/>
          <w:lang w:val="en-US" w:eastAsia="zh-CN"/>
        </w:rPr>
        <w:t>含量</w:t>
      </w:r>
      <w:r>
        <w:rPr>
          <w:rFonts w:hint="eastAsia" w:ascii="黑体" w:hAnsi="黑体" w:eastAsia="黑体" w:cs="黑体"/>
          <w:color w:val="auto"/>
          <w:kern w:val="0"/>
          <w:szCs w:val="52"/>
          <w:highlight w:val="none"/>
        </w:rPr>
        <w:t>、硅</w:t>
      </w:r>
      <w:r>
        <w:rPr>
          <w:rFonts w:hint="eastAsia" w:ascii="黑体" w:hAnsi="黑体" w:eastAsia="黑体" w:cs="黑体"/>
          <w:color w:val="auto"/>
          <w:kern w:val="0"/>
          <w:szCs w:val="52"/>
          <w:highlight w:val="none"/>
          <w:lang w:val="en-US" w:eastAsia="zh-CN"/>
        </w:rPr>
        <w:t>含量</w:t>
      </w:r>
      <w:r>
        <w:rPr>
          <w:rFonts w:hint="eastAsia" w:ascii="黑体" w:hAnsi="黑体" w:eastAsia="黑体" w:cs="黑体"/>
          <w:color w:val="auto"/>
          <w:kern w:val="0"/>
          <w:szCs w:val="52"/>
          <w:highlight w:val="none"/>
        </w:rPr>
        <w:t>和锌含量</w:t>
      </w:r>
      <w:r>
        <w:rPr>
          <w:rFonts w:hint="eastAsia" w:ascii="黑体" w:hAnsi="黑体" w:eastAsia="黑体" w:cs="黑体"/>
          <w:color w:val="auto"/>
          <w:kern w:val="0"/>
          <w:szCs w:val="52"/>
          <w:highlight w:val="none"/>
          <w:lang w:val="en-US" w:eastAsia="zh-CN"/>
        </w:rPr>
        <w:t>的</w:t>
      </w:r>
      <w:r>
        <w:rPr>
          <w:rFonts w:hint="eastAsia" w:ascii="黑体" w:hAnsi="黑体" w:eastAsia="黑体" w:cs="黑体"/>
          <w:color w:val="auto"/>
          <w:kern w:val="0"/>
          <w:szCs w:val="52"/>
          <w:highlight w:val="none"/>
        </w:rPr>
        <w:t>试验</w:t>
      </w:r>
    </w:p>
    <w:p>
      <w:pPr>
        <w:pStyle w:val="219"/>
        <w:numPr>
          <w:ilvl w:val="3"/>
          <w:numId w:val="0"/>
        </w:numPr>
        <w:ind w:firstLine="420" w:firstLineChars="200"/>
        <w:rPr>
          <w:rFonts w:ascii="Times New Roman"/>
          <w:color w:val="auto"/>
          <w:szCs w:val="21"/>
          <w:highlight w:val="none"/>
        </w:rPr>
      </w:pPr>
      <w:r>
        <w:rPr>
          <w:rFonts w:hint="eastAsia" w:ascii="Times New Roman"/>
          <w:color w:val="auto"/>
          <w:highlight w:val="none"/>
        </w:rPr>
        <w:t>在电感耦合等离子体原子发射光谱仪，按表6规</w:t>
      </w:r>
      <w:r>
        <w:rPr>
          <w:rFonts w:ascii="Times New Roman"/>
          <w:color w:val="auto"/>
          <w:highlight w:val="none"/>
        </w:rPr>
        <w:t>定</w:t>
      </w:r>
      <w:r>
        <w:rPr>
          <w:rFonts w:hint="eastAsia" w:ascii="Times New Roman"/>
          <w:color w:val="auto"/>
          <w:highlight w:val="none"/>
        </w:rPr>
        <w:t>的分析谱线测量试验溶液A（6.3.4.1）和空白试验溶液A（6.3.4.2）</w:t>
      </w:r>
      <w:r>
        <w:rPr>
          <w:rFonts w:ascii="Times New Roman"/>
          <w:color w:val="auto"/>
          <w:highlight w:val="none"/>
        </w:rPr>
        <w:t>中</w:t>
      </w:r>
      <w:r>
        <w:rPr>
          <w:rFonts w:hint="eastAsia" w:ascii="Times New Roman"/>
          <w:color w:val="auto"/>
          <w:highlight w:val="none"/>
        </w:rPr>
        <w:t>钙、镉、铬、镁、铅、硅、锌</w:t>
      </w:r>
      <w:r>
        <w:rPr>
          <w:rFonts w:ascii="Times New Roman"/>
          <w:color w:val="auto"/>
          <w:highlight w:val="none"/>
        </w:rPr>
        <w:t>的发射光谱强度。从</w:t>
      </w:r>
      <w:r>
        <w:rPr>
          <w:rFonts w:hint="eastAsia" w:ascii="Times New Roman"/>
          <w:color w:val="auto"/>
          <w:highlight w:val="none"/>
        </w:rPr>
        <w:t>标准曲线</w:t>
      </w:r>
      <w:r>
        <w:rPr>
          <w:rFonts w:ascii="Times New Roman"/>
          <w:color w:val="auto"/>
          <w:highlight w:val="none"/>
        </w:rPr>
        <w:t>上查得</w:t>
      </w:r>
      <w:r>
        <w:rPr>
          <w:rFonts w:hint="eastAsia" w:ascii="Times New Roman"/>
          <w:color w:val="auto"/>
          <w:highlight w:val="none"/>
          <w:lang w:val="en-US" w:eastAsia="zh-CN"/>
        </w:rPr>
        <w:t>试溶液A和空白试验溶液A中</w:t>
      </w:r>
      <w:r>
        <w:rPr>
          <w:rFonts w:hint="eastAsia" w:ascii="Times New Roman"/>
          <w:color w:val="auto"/>
          <w:szCs w:val="21"/>
          <w:highlight w:val="none"/>
        </w:rPr>
        <w:t>钙、镉、铬、镁、铅、硅和锌</w:t>
      </w:r>
      <w:r>
        <w:rPr>
          <w:rFonts w:ascii="Times New Roman"/>
          <w:color w:val="auto"/>
          <w:szCs w:val="21"/>
          <w:highlight w:val="none"/>
        </w:rPr>
        <w:t>的质量浓度（μg/mL）。</w:t>
      </w:r>
    </w:p>
    <w:p>
      <w:pPr>
        <w:pStyle w:val="219"/>
        <w:numPr>
          <w:ilvl w:val="3"/>
          <w:numId w:val="0"/>
        </w:numPr>
        <w:ind w:firstLine="420" w:firstLineChars="200"/>
        <w:rPr>
          <w:rFonts w:hint="default" w:ascii="Times New Roman" w:eastAsia="宋体"/>
          <w:color w:val="auto"/>
          <w:szCs w:val="21"/>
          <w:highlight w:val="none"/>
          <w:lang w:val="en-US" w:eastAsia="zh-CN"/>
        </w:rPr>
      </w:pPr>
      <w:r>
        <w:rPr>
          <w:rFonts w:hint="eastAsia" w:ascii="Times New Roman"/>
          <w:color w:val="auto"/>
          <w:szCs w:val="21"/>
          <w:highlight w:val="none"/>
          <w:lang w:val="en-US" w:eastAsia="zh-CN"/>
        </w:rPr>
        <w:t>若试样中待测元素质量浓度超出标准曲线范围时，重新稀释后进行测定，计算时代入稀释倍数。</w:t>
      </w:r>
    </w:p>
    <w:p>
      <w:pPr>
        <w:numPr>
          <w:ilvl w:val="5"/>
          <w:numId w:val="2"/>
        </w:numPr>
        <w:adjustRightInd/>
        <w:spacing w:beforeLines="50" w:afterLines="50" w:line="360" w:lineRule="exact"/>
        <w:ind w:left="0"/>
        <w:rPr>
          <w:rFonts w:ascii="黑体" w:hAnsi="黑体" w:eastAsia="黑体" w:cs="黑体"/>
          <w:color w:val="auto"/>
          <w:kern w:val="0"/>
          <w:szCs w:val="52"/>
          <w:highlight w:val="none"/>
        </w:rPr>
      </w:pPr>
      <w:r>
        <w:rPr>
          <w:rFonts w:hint="eastAsia" w:ascii="黑体" w:hAnsi="黑体" w:eastAsia="黑体" w:cs="黑体"/>
          <w:color w:val="auto"/>
          <w:kern w:val="0"/>
          <w:szCs w:val="52"/>
          <w:highlight w:val="none"/>
        </w:rPr>
        <w:t>硫含量</w:t>
      </w:r>
      <w:r>
        <w:rPr>
          <w:rFonts w:hint="eastAsia" w:ascii="黑体" w:hAnsi="黑体" w:eastAsia="黑体" w:cs="黑体"/>
          <w:color w:val="auto"/>
          <w:kern w:val="0"/>
          <w:szCs w:val="52"/>
          <w:highlight w:val="none"/>
          <w:lang w:val="en-US" w:eastAsia="zh-CN"/>
        </w:rPr>
        <w:t>的</w:t>
      </w:r>
      <w:r>
        <w:rPr>
          <w:rFonts w:hint="eastAsia" w:ascii="黑体" w:hAnsi="黑体" w:eastAsia="黑体" w:cs="黑体"/>
          <w:color w:val="auto"/>
          <w:kern w:val="0"/>
          <w:szCs w:val="52"/>
          <w:highlight w:val="none"/>
        </w:rPr>
        <w:t>试验</w:t>
      </w:r>
    </w:p>
    <w:p>
      <w:pPr>
        <w:pStyle w:val="219"/>
        <w:numPr>
          <w:ilvl w:val="3"/>
          <w:numId w:val="0"/>
        </w:numPr>
        <w:ind w:firstLine="420" w:firstLineChars="200"/>
        <w:rPr>
          <w:rFonts w:hint="eastAsia" w:ascii="Times New Roman"/>
          <w:color w:val="auto"/>
          <w:highlight w:val="none"/>
        </w:rPr>
      </w:pPr>
      <w:r>
        <w:rPr>
          <w:rFonts w:hint="eastAsia" w:ascii="Times New Roman"/>
          <w:color w:val="auto"/>
          <w:highlight w:val="none"/>
        </w:rPr>
        <w:t>移取</w:t>
      </w:r>
      <w:r>
        <w:rPr>
          <w:rFonts w:hint="eastAsia" w:ascii="Times New Roman"/>
          <w:color w:val="auto"/>
          <w:highlight w:val="none"/>
          <w:lang w:val="en-US" w:eastAsia="zh-CN"/>
        </w:rPr>
        <w:t>5</w:t>
      </w:r>
      <w:r>
        <w:rPr>
          <w:rFonts w:hint="eastAsia" w:ascii="Times New Roman"/>
          <w:color w:val="auto"/>
          <w:highlight w:val="none"/>
        </w:rPr>
        <w:t>.00 mL试验溶液A（6.3.4.1）和</w:t>
      </w:r>
      <w:r>
        <w:rPr>
          <w:rFonts w:ascii="Times New Roman"/>
          <w:color w:val="auto"/>
          <w:highlight w:val="none"/>
        </w:rPr>
        <w:t>空白试验溶液A</w:t>
      </w:r>
      <w:r>
        <w:rPr>
          <w:rFonts w:hint="eastAsia" w:ascii="Times New Roman"/>
          <w:color w:val="auto"/>
          <w:highlight w:val="none"/>
        </w:rPr>
        <w:t>（6.3.4.2），分别置于2个</w:t>
      </w:r>
      <w:r>
        <w:rPr>
          <w:rFonts w:ascii="Times New Roman"/>
          <w:color w:val="auto"/>
          <w:highlight w:val="none"/>
        </w:rPr>
        <w:t>10</w:t>
      </w:r>
      <w:r>
        <w:rPr>
          <w:rFonts w:hint="eastAsia" w:ascii="Times New Roman"/>
          <w:color w:val="auto"/>
          <w:highlight w:val="none"/>
        </w:rPr>
        <w:t>0 mL容量瓶中，用水稀释至刻度，摇匀。在电感耦合等离子体原子发射光谱分析仪上，按表6规定的分析谱线测量上述溶液</w:t>
      </w:r>
      <w:r>
        <w:rPr>
          <w:rFonts w:ascii="Times New Roman"/>
          <w:color w:val="auto"/>
          <w:highlight w:val="none"/>
        </w:rPr>
        <w:t>中</w:t>
      </w:r>
      <w:r>
        <w:rPr>
          <w:rFonts w:hint="eastAsia" w:ascii="Times New Roman"/>
          <w:color w:val="auto"/>
          <w:highlight w:val="none"/>
        </w:rPr>
        <w:t>硫的发射光谱强度。从标准曲线上查得硫的质量浓度</w:t>
      </w:r>
      <w:r>
        <w:rPr>
          <w:rFonts w:ascii="Times New Roman"/>
          <w:color w:val="auto"/>
          <w:highlight w:val="none"/>
        </w:rPr>
        <w:t>（μg/mL）</w:t>
      </w:r>
      <w:r>
        <w:rPr>
          <w:rFonts w:hint="eastAsia" w:ascii="Times New Roman"/>
          <w:color w:val="auto"/>
          <w:highlight w:val="none"/>
        </w:rPr>
        <w:t>。</w:t>
      </w:r>
    </w:p>
    <w:p>
      <w:pPr>
        <w:pStyle w:val="219"/>
        <w:numPr>
          <w:ilvl w:val="3"/>
          <w:numId w:val="0"/>
        </w:numPr>
        <w:ind w:firstLine="420" w:firstLineChars="200"/>
        <w:rPr>
          <w:rFonts w:hint="default" w:ascii="Times New Roman" w:eastAsia="宋体"/>
          <w:color w:val="auto"/>
          <w:szCs w:val="21"/>
          <w:highlight w:val="none"/>
          <w:lang w:val="en-US" w:eastAsia="zh-CN"/>
        </w:rPr>
      </w:pPr>
      <w:r>
        <w:rPr>
          <w:rFonts w:hint="eastAsia" w:ascii="Times New Roman"/>
          <w:color w:val="auto"/>
          <w:szCs w:val="21"/>
          <w:highlight w:val="none"/>
          <w:lang w:val="en-US" w:eastAsia="zh-CN"/>
        </w:rPr>
        <w:t>若试样中待测元素质量浓度超出标准曲线范围时，重新稀释后进行测定，计算时代入稀释倍数。</w:t>
      </w:r>
    </w:p>
    <w:p>
      <w:pPr>
        <w:pStyle w:val="71"/>
        <w:spacing w:before="120" w:after="120" w:line="360" w:lineRule="exact"/>
        <w:ind w:left="0"/>
        <w:rPr>
          <w:color w:val="auto"/>
          <w:highlight w:val="none"/>
        </w:rPr>
      </w:pPr>
      <w:r>
        <w:rPr>
          <w:rFonts w:hint="eastAsia"/>
          <w:color w:val="auto"/>
          <w:highlight w:val="none"/>
        </w:rPr>
        <w:t>试验数据处理</w:t>
      </w:r>
    </w:p>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钙含量、镉含量、铬含量、镁含量、铅含量、硅含量和锌含量的计算</w:t>
      </w:r>
    </w:p>
    <w:p>
      <w:pPr>
        <w:pStyle w:val="62"/>
        <w:spacing w:line="360" w:lineRule="exact"/>
        <w:ind w:firstLine="420"/>
        <w:rPr>
          <w:rFonts w:hint="eastAsia" w:ascii="Times New Roman"/>
          <w:color w:val="auto"/>
          <w:highlight w:val="none"/>
        </w:rPr>
      </w:pPr>
      <w:r>
        <w:rPr>
          <w:rFonts w:hint="eastAsia" w:ascii="Times New Roman"/>
          <w:color w:val="auto"/>
          <w:szCs w:val="21"/>
          <w:highlight w:val="none"/>
        </w:rPr>
        <w:t>镉、铬、铅、硅、钙、镁和锌</w:t>
      </w:r>
      <w:r>
        <w:rPr>
          <w:rFonts w:hint="eastAsia" w:ascii="Times New Roman"/>
          <w:color w:val="auto"/>
          <w:highlight w:val="none"/>
        </w:rPr>
        <w:t>含量以各元素的质量分数</w:t>
      </w:r>
      <m:oMath>
        <m:sSub>
          <m:sSubPr>
            <m:ctrlPr>
              <w:rPr>
                <w:rFonts w:ascii="Cambria Math" w:hAnsi="Cambria Math"/>
                <w:i/>
                <w:color w:val="auto"/>
                <w:kern w:val="2"/>
                <w:szCs w:val="21"/>
                <w:highlight w:val="none"/>
              </w:rPr>
            </m:ctrlPr>
          </m:sSubPr>
          <m:e>
            <m:r>
              <m:rPr/>
              <w:rPr>
                <w:rFonts w:ascii="Cambria Math" w:hAnsi="Cambria Math"/>
                <w:color w:val="auto"/>
                <w:highlight w:val="none"/>
              </w:rPr>
              <m:t>ω</m:t>
            </m:r>
            <m:ctrlPr>
              <w:rPr>
                <w:rFonts w:ascii="Cambria Math" w:hAnsi="Cambria Math"/>
                <w:i/>
                <w:color w:val="auto"/>
                <w:kern w:val="2"/>
                <w:szCs w:val="21"/>
                <w:highlight w:val="none"/>
              </w:rPr>
            </m:ctrlPr>
          </m:e>
          <m:sub>
            <m:r>
              <m:rPr/>
              <w:rPr>
                <w:rFonts w:ascii="Cambria Math" w:hAnsi="Cambria Math"/>
                <w:color w:val="auto"/>
                <w:kern w:val="2"/>
                <w:szCs w:val="21"/>
                <w:highlight w:val="none"/>
              </w:rPr>
              <m:t>y</m:t>
            </m:r>
            <m:ctrlPr>
              <w:rPr>
                <w:rFonts w:ascii="Cambria Math" w:hAnsi="Cambria Math"/>
                <w:i/>
                <w:color w:val="auto"/>
                <w:kern w:val="2"/>
                <w:szCs w:val="21"/>
                <w:highlight w:val="none"/>
              </w:rPr>
            </m:ctrlPr>
          </m:sub>
        </m:sSub>
      </m:oMath>
      <w:r>
        <w:rPr>
          <w:rFonts w:hint="eastAsia" w:ascii="Times New Roman"/>
          <w:color w:val="auto"/>
          <w:highlight w:val="none"/>
        </w:rPr>
        <w:t>计，按公式（3）计算：</w:t>
      </w:r>
    </w:p>
    <w:p>
      <w:pPr>
        <w:pStyle w:val="62"/>
        <w:ind w:firstLine="420"/>
        <w:jc w:val="right"/>
        <w:rPr>
          <w:rFonts w:ascii="Times New Roman" w:hAnsi="Times New Roman"/>
          <w:color w:val="auto"/>
          <w:highlight w:val="none"/>
        </w:rPr>
      </w:pPr>
      <w:r>
        <w:rPr>
          <w:color w:val="auto"/>
          <w:position w:val="-24"/>
          <w:highlight w:val="none"/>
        </w:rPr>
        <w:object>
          <v:shape id="_x0000_i1027" o:spt="75" type="#_x0000_t75" style="height:34.55pt;width:160.7pt;" o:ole="t" filled="f" o:preferrelative="t" stroked="f" coordsize="21600,21600">
            <v:path/>
            <v:fill on="f" focussize="0,0"/>
            <v:stroke on="f"/>
            <v:imagedata r:id="rId17" o:title=""/>
            <o:lock v:ext="edit" aspectratio="t"/>
            <w10:wrap type="none"/>
            <w10:anchorlock/>
          </v:shape>
          <o:OLEObject Type="Embed" ProgID="Equation.3" ShapeID="_x0000_i1027" DrawAspect="Content" ObjectID="_1468075727" r:id="rId16">
            <o:LockedField>false</o:LockedField>
          </o:OLEObject>
        </w:object>
      </w:r>
      <w:r>
        <w:rPr>
          <w:rFonts w:hint="eastAsia" w:cs="宋体"/>
          <w:color w:val="auto"/>
          <w:highlight w:val="none"/>
        </w:rPr>
        <w:t>…………………………</w:t>
      </w:r>
      <w:r>
        <w:rPr>
          <w:rFonts w:hint="eastAsia" w:ascii="Times New Roman" w:hAnsi="Times New Roman"/>
          <w:color w:val="auto"/>
          <w:highlight w:val="none"/>
        </w:rPr>
        <w:t>（3）</w:t>
      </w:r>
    </w:p>
    <w:p>
      <w:pPr>
        <w:pStyle w:val="62"/>
        <w:spacing w:line="360" w:lineRule="exact"/>
        <w:ind w:firstLine="420"/>
        <w:rPr>
          <w:rFonts w:ascii="Times New Roman"/>
          <w:color w:val="auto"/>
          <w:highlight w:val="none"/>
        </w:rPr>
      </w:pPr>
      <w:r>
        <w:rPr>
          <w:rFonts w:hint="eastAsia" w:ascii="Times New Roman"/>
          <w:color w:val="auto"/>
          <w:highlight w:val="none"/>
        </w:rPr>
        <w:t>式中：</w:t>
      </w:r>
    </w:p>
    <w:p>
      <w:pPr>
        <w:pStyle w:val="62"/>
        <w:spacing w:line="360" w:lineRule="exact"/>
        <w:ind w:firstLine="420"/>
        <w:rPr>
          <w:rFonts w:ascii="Times New Roman"/>
          <w:color w:val="auto"/>
          <w:highlight w:val="none"/>
        </w:rPr>
      </w:pPr>
      <w:r>
        <w:rPr>
          <w:rFonts w:ascii="Times New Roman"/>
          <w:i/>
          <w:iCs/>
          <w:color w:val="auto"/>
          <w:kern w:val="2"/>
          <w:szCs w:val="21"/>
          <w:highlight w:val="none"/>
        </w:rPr>
        <w:t>ρ</w:t>
      </w:r>
      <w:r>
        <w:rPr>
          <w:rFonts w:hint="eastAsia" w:ascii="Times New Roman"/>
          <w:color w:val="auto"/>
          <w:kern w:val="2"/>
          <w:szCs w:val="21"/>
          <w:highlight w:val="none"/>
          <w:vertAlign w:val="subscript"/>
        </w:rPr>
        <w:t>y</w:t>
      </w:r>
      <w:r>
        <w:rPr>
          <w:rFonts w:ascii="Times New Roman"/>
          <w:color w:val="auto"/>
          <w:highlight w:val="none"/>
        </w:rPr>
        <w:t>——从</w:t>
      </w:r>
      <w:r>
        <w:rPr>
          <w:rFonts w:hint="eastAsia" w:ascii="Times New Roman"/>
          <w:color w:val="auto"/>
          <w:highlight w:val="none"/>
        </w:rPr>
        <w:t>标准曲线</w:t>
      </w:r>
      <w:r>
        <w:rPr>
          <w:rFonts w:ascii="Times New Roman"/>
          <w:color w:val="auto"/>
          <w:highlight w:val="none"/>
        </w:rPr>
        <w:t>上查得</w:t>
      </w:r>
      <w:r>
        <w:rPr>
          <w:rFonts w:hint="eastAsia" w:ascii="Times New Roman"/>
          <w:color w:val="auto"/>
          <w:highlight w:val="none"/>
        </w:rPr>
        <w:t>试验溶液A</w:t>
      </w:r>
      <w:r>
        <w:rPr>
          <w:rFonts w:ascii="Times New Roman"/>
          <w:color w:val="auto"/>
          <w:highlight w:val="none"/>
        </w:rPr>
        <w:t>中</w:t>
      </w:r>
      <w:r>
        <w:rPr>
          <w:rFonts w:hint="eastAsia" w:ascii="Times New Roman"/>
          <w:color w:val="auto"/>
          <w:highlight w:val="none"/>
        </w:rPr>
        <w:t>待测</w:t>
      </w:r>
      <w:r>
        <w:rPr>
          <w:rFonts w:ascii="Times New Roman"/>
          <w:color w:val="auto"/>
          <w:highlight w:val="none"/>
        </w:rPr>
        <w:t>元素的质量浓度</w:t>
      </w:r>
      <w:r>
        <w:rPr>
          <w:rFonts w:hint="eastAsia" w:ascii="Times New Roman"/>
          <w:color w:val="auto"/>
          <w:highlight w:val="none"/>
        </w:rPr>
        <w:t>的数值</w:t>
      </w:r>
      <w:r>
        <w:rPr>
          <w:rFonts w:ascii="Times New Roman"/>
          <w:color w:val="auto"/>
          <w:highlight w:val="none"/>
        </w:rPr>
        <w:t>，单位为微克每毫升（μg/mL）；</w:t>
      </w:r>
    </w:p>
    <w:p>
      <w:pPr>
        <w:pStyle w:val="62"/>
        <w:spacing w:line="360" w:lineRule="exact"/>
        <w:ind w:firstLine="420"/>
        <w:rPr>
          <w:rFonts w:ascii="Times New Roman"/>
          <w:color w:val="auto"/>
          <w:highlight w:val="none"/>
        </w:rPr>
      </w:pPr>
      <w:r>
        <w:rPr>
          <w:rFonts w:ascii="Times New Roman"/>
          <w:i/>
          <w:iCs/>
          <w:color w:val="auto"/>
          <w:kern w:val="2"/>
          <w:szCs w:val="21"/>
          <w:highlight w:val="none"/>
        </w:rPr>
        <w:t>ρ</w:t>
      </w:r>
      <w:r>
        <w:rPr>
          <w:rFonts w:hint="eastAsia" w:ascii="Times New Roman"/>
          <w:color w:val="auto"/>
          <w:kern w:val="2"/>
          <w:szCs w:val="21"/>
          <w:highlight w:val="none"/>
          <w:vertAlign w:val="subscript"/>
        </w:rPr>
        <w:t>0</w:t>
      </w:r>
      <w:r>
        <w:rPr>
          <w:rFonts w:ascii="Times New Roman"/>
          <w:color w:val="auto"/>
          <w:highlight w:val="none"/>
        </w:rPr>
        <w:t>——从</w:t>
      </w:r>
      <w:r>
        <w:rPr>
          <w:rFonts w:hint="eastAsia" w:ascii="Times New Roman"/>
          <w:color w:val="auto"/>
          <w:highlight w:val="none"/>
        </w:rPr>
        <w:t>标准曲线</w:t>
      </w:r>
      <w:r>
        <w:rPr>
          <w:rFonts w:ascii="Times New Roman"/>
          <w:color w:val="auto"/>
          <w:highlight w:val="none"/>
        </w:rPr>
        <w:t>上查得空白试</w:t>
      </w:r>
      <w:r>
        <w:rPr>
          <w:rFonts w:hint="eastAsia" w:ascii="Times New Roman"/>
          <w:color w:val="auto"/>
          <w:highlight w:val="none"/>
        </w:rPr>
        <w:t>验溶</w:t>
      </w:r>
      <w:r>
        <w:rPr>
          <w:rFonts w:ascii="Times New Roman"/>
          <w:color w:val="auto"/>
          <w:highlight w:val="none"/>
        </w:rPr>
        <w:t>液</w:t>
      </w:r>
      <w:r>
        <w:rPr>
          <w:rFonts w:hint="eastAsia" w:ascii="Times New Roman"/>
          <w:color w:val="auto"/>
          <w:highlight w:val="none"/>
        </w:rPr>
        <w:t>A</w:t>
      </w:r>
      <w:r>
        <w:rPr>
          <w:rFonts w:ascii="Times New Roman"/>
          <w:color w:val="auto"/>
          <w:highlight w:val="none"/>
        </w:rPr>
        <w:t>中</w:t>
      </w:r>
      <w:r>
        <w:rPr>
          <w:rFonts w:hint="eastAsia" w:ascii="Times New Roman"/>
          <w:color w:val="auto"/>
          <w:highlight w:val="none"/>
        </w:rPr>
        <w:t>待测</w:t>
      </w:r>
      <w:r>
        <w:rPr>
          <w:rFonts w:ascii="Times New Roman"/>
          <w:color w:val="auto"/>
          <w:highlight w:val="none"/>
        </w:rPr>
        <w:t>元素的质量浓度</w:t>
      </w:r>
      <w:r>
        <w:rPr>
          <w:rFonts w:hint="eastAsia" w:ascii="Times New Roman"/>
          <w:color w:val="auto"/>
          <w:highlight w:val="none"/>
        </w:rPr>
        <w:t>的数值</w:t>
      </w:r>
      <w:r>
        <w:rPr>
          <w:rFonts w:ascii="Times New Roman"/>
          <w:color w:val="auto"/>
          <w:highlight w:val="none"/>
        </w:rPr>
        <w:t>，单位为微克每毫升（μg/mL）；</w:t>
      </w:r>
    </w:p>
    <w:p>
      <w:pPr>
        <w:pStyle w:val="62"/>
        <w:spacing w:line="360" w:lineRule="exact"/>
        <w:ind w:firstLine="420"/>
        <w:rPr>
          <w:rFonts w:hint="eastAsia" w:ascii="Times New Roman"/>
          <w:color w:val="auto"/>
          <w:highlight w:val="none"/>
        </w:rPr>
      </w:pPr>
      <w:r>
        <w:rPr>
          <w:rFonts w:hint="eastAsia" w:ascii="Times New Roman"/>
          <w:i/>
          <w:iCs/>
          <w:color w:val="auto"/>
          <w:highlight w:val="none"/>
        </w:rPr>
        <w:t>m</w:t>
      </w:r>
      <w:r>
        <w:rPr>
          <w:rFonts w:ascii="Times New Roman"/>
          <w:color w:val="auto"/>
          <w:highlight w:val="none"/>
        </w:rPr>
        <w:t>——试料的质量</w:t>
      </w:r>
      <w:r>
        <w:rPr>
          <w:rFonts w:hint="eastAsia" w:ascii="Times New Roman"/>
          <w:color w:val="auto"/>
          <w:highlight w:val="none"/>
        </w:rPr>
        <w:t>的数值</w:t>
      </w:r>
      <w:r>
        <w:rPr>
          <w:rFonts w:ascii="Times New Roman"/>
          <w:color w:val="auto"/>
          <w:highlight w:val="none"/>
        </w:rPr>
        <w:t>，单位为克（g）</w:t>
      </w:r>
      <w:r>
        <w:rPr>
          <w:rFonts w:hint="eastAsia" w:ascii="Times New Roman"/>
          <w:color w:val="auto"/>
          <w:highlight w:val="none"/>
        </w:rPr>
        <w:t>。</w:t>
      </w:r>
    </w:p>
    <w:p>
      <w:pPr>
        <w:adjustRightInd w:val="0"/>
        <w:spacing w:line="400" w:lineRule="exact"/>
        <w:ind w:firstLine="420" w:firstLineChars="200"/>
        <w:rPr>
          <w:rFonts w:ascii="Calibri" w:hAnsi="Calibri"/>
          <w:color w:val="auto"/>
          <w:szCs w:val="20"/>
          <w:highlight w:val="none"/>
          <w14:ligatures w14:val="none"/>
        </w:rPr>
      </w:pPr>
      <w:r>
        <w:rPr>
          <w:rFonts w:ascii="Calibri" w:hAnsi="宋体"/>
          <w:color w:val="auto"/>
          <w:szCs w:val="20"/>
          <w:highlight w:val="none"/>
          <w14:ligatures w14:val="none"/>
        </w:rPr>
        <w:t>试验结果以平行测定结果的算术平均值为测定结果。</w:t>
      </w:r>
      <w:r>
        <w:rPr>
          <w:rFonts w:hint="eastAsia" w:ascii="Calibri" w:hAnsi="宋体"/>
          <w:color w:val="auto"/>
          <w:szCs w:val="20"/>
          <w:highlight w:val="none"/>
          <w14:ligatures w14:val="none"/>
        </w:rPr>
        <w:t>两次平行测定结果的绝对差值与算术平均值之比不大于</w:t>
      </w:r>
      <w:r>
        <w:rPr>
          <w:color w:val="auto"/>
          <w:szCs w:val="20"/>
          <w:highlight w:val="none"/>
          <w14:ligatures w14:val="none"/>
        </w:rPr>
        <w:t>20 %</w:t>
      </w:r>
      <w:r>
        <w:rPr>
          <w:rFonts w:hint="eastAsia" w:ascii="Calibri" w:hAnsi="宋体"/>
          <w:color w:val="auto"/>
          <w:szCs w:val="20"/>
          <w:highlight w:val="none"/>
          <w14:ligatures w14:val="none"/>
        </w:rPr>
        <w:t>。</w:t>
      </w:r>
    </w:p>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硫含量的计算</w:t>
      </w:r>
    </w:p>
    <w:p>
      <w:pPr>
        <w:pStyle w:val="62"/>
        <w:spacing w:line="360" w:lineRule="exact"/>
        <w:ind w:firstLine="420"/>
        <w:rPr>
          <w:rFonts w:hint="eastAsia" w:ascii="Times New Roman"/>
          <w:color w:val="auto"/>
          <w:highlight w:val="none"/>
        </w:rPr>
      </w:pPr>
      <w:r>
        <w:rPr>
          <w:rFonts w:hint="eastAsia" w:ascii="Times New Roman"/>
          <w:color w:val="auto"/>
          <w:highlight w:val="none"/>
        </w:rPr>
        <w:t>硫含量以硫（S）的质量分数</w:t>
      </w:r>
      <m:oMath>
        <m:sSub>
          <m:sSubPr>
            <m:ctrlPr>
              <w:rPr>
                <w:rFonts w:ascii="Cambria Math" w:hAnsi="Cambria Math"/>
                <w:i/>
                <w:color w:val="auto"/>
                <w:kern w:val="2"/>
                <w:szCs w:val="21"/>
                <w:highlight w:val="none"/>
              </w:rPr>
            </m:ctrlPr>
          </m:sSubPr>
          <m:e>
            <m:r>
              <m:rPr/>
              <w:rPr>
                <w:rFonts w:ascii="Cambria Math" w:hAnsi="Cambria Math"/>
                <w:color w:val="auto"/>
                <w:highlight w:val="none"/>
              </w:rPr>
              <m:t>ω</m:t>
            </m:r>
            <m:ctrlPr>
              <w:rPr>
                <w:rFonts w:ascii="Cambria Math" w:hAnsi="Cambria Math"/>
                <w:i/>
                <w:color w:val="auto"/>
                <w:kern w:val="2"/>
                <w:szCs w:val="21"/>
                <w:highlight w:val="none"/>
              </w:rPr>
            </m:ctrlPr>
          </m:e>
          <m:sub>
            <m:r>
              <m:rPr>
                <m:sty m:val="p"/>
              </m:rPr>
              <w:rPr>
                <w:rFonts w:ascii="Cambria Math" w:hAnsi="Cambria Math"/>
                <w:color w:val="auto"/>
                <w:kern w:val="2"/>
                <w:szCs w:val="21"/>
                <w:highlight w:val="none"/>
              </w:rPr>
              <m:t>S</m:t>
            </m:r>
            <m:ctrlPr>
              <w:rPr>
                <w:rFonts w:ascii="Cambria Math" w:hAnsi="Cambria Math"/>
                <w:i/>
                <w:color w:val="auto"/>
                <w:kern w:val="2"/>
                <w:szCs w:val="21"/>
                <w:highlight w:val="none"/>
              </w:rPr>
            </m:ctrlPr>
          </m:sub>
        </m:sSub>
      </m:oMath>
      <w:r>
        <w:rPr>
          <w:rFonts w:hint="eastAsia" w:ascii="Times New Roman"/>
          <w:color w:val="auto"/>
          <w:highlight w:val="none"/>
        </w:rPr>
        <w:t>计，按公式（</w:t>
      </w:r>
      <w:r>
        <w:rPr>
          <w:rFonts w:ascii="Times New Roman"/>
          <w:color w:val="auto"/>
          <w:highlight w:val="none"/>
        </w:rPr>
        <w:t>4</w:t>
      </w:r>
      <w:r>
        <w:rPr>
          <w:rFonts w:hint="eastAsia" w:ascii="Times New Roman"/>
          <w:color w:val="auto"/>
          <w:highlight w:val="none"/>
        </w:rPr>
        <w:t>）计算：</w:t>
      </w:r>
    </w:p>
    <w:p>
      <w:pPr>
        <w:pStyle w:val="62"/>
        <w:ind w:firstLine="420"/>
        <w:jc w:val="right"/>
        <w:rPr>
          <w:rFonts w:ascii="Times New Roman" w:hAnsi="Times New Roman"/>
          <w:color w:val="auto"/>
          <w:szCs w:val="21"/>
          <w:highlight w:val="none"/>
        </w:rPr>
      </w:pPr>
      <w:r>
        <w:rPr>
          <w:color w:val="auto"/>
          <w:position w:val="-30"/>
          <w:szCs w:val="21"/>
          <w:highlight w:val="none"/>
        </w:rPr>
        <w:object>
          <v:shape id="_x0000_i1028" o:spt="75" type="#_x0000_t75" style="height:36.6pt;width:160.75pt;" o:ole="t" filled="f" o:preferrelative="t" stroked="f" coordsize="21600,21600">
            <v:path/>
            <v:fill on="f" focussize="0,0"/>
            <v:stroke on="f"/>
            <v:imagedata r:id="rId19" o:title=""/>
            <o:lock v:ext="edit" aspectratio="t"/>
            <w10:wrap type="none"/>
            <w10:anchorlock/>
          </v:shape>
          <o:OLEObject Type="Embed" ProgID="Equation.3" ShapeID="_x0000_i1028" DrawAspect="Content" ObjectID="_1468075728" r:id="rId18">
            <o:LockedField>false</o:LockedField>
          </o:OLEObject>
        </w:object>
      </w:r>
      <w:r>
        <w:rPr>
          <w:rFonts w:hint="eastAsia" w:cs="宋体"/>
          <w:color w:val="auto"/>
          <w:szCs w:val="21"/>
          <w:highlight w:val="none"/>
        </w:rPr>
        <w:t>………………………</w:t>
      </w:r>
      <w:r>
        <w:rPr>
          <w:rFonts w:hint="eastAsia" w:ascii="Times New Roman" w:hAnsi="Times New Roman"/>
          <w:color w:val="auto"/>
          <w:szCs w:val="21"/>
          <w:highlight w:val="none"/>
        </w:rPr>
        <w:t>（</w:t>
      </w:r>
      <w:r>
        <w:rPr>
          <w:rFonts w:ascii="Times New Roman" w:hAnsi="Times New Roman"/>
          <w:color w:val="auto"/>
          <w:szCs w:val="21"/>
          <w:highlight w:val="none"/>
        </w:rPr>
        <w:t>4</w:t>
      </w:r>
      <w:r>
        <w:rPr>
          <w:rFonts w:hint="eastAsia" w:ascii="Times New Roman" w:hAnsi="Times New Roman"/>
          <w:color w:val="auto"/>
          <w:szCs w:val="21"/>
          <w:highlight w:val="none"/>
        </w:rPr>
        <w:t>）</w:t>
      </w:r>
    </w:p>
    <w:p>
      <w:pPr>
        <w:pStyle w:val="62"/>
        <w:spacing w:line="360" w:lineRule="exact"/>
        <w:ind w:firstLine="420"/>
        <w:rPr>
          <w:rFonts w:ascii="Times New Roman"/>
          <w:color w:val="auto"/>
          <w:highlight w:val="none"/>
        </w:rPr>
      </w:pPr>
      <w:r>
        <w:rPr>
          <w:rFonts w:hint="eastAsia" w:ascii="Times New Roman"/>
          <w:color w:val="auto"/>
          <w:highlight w:val="none"/>
        </w:rPr>
        <w:t>式中：</w:t>
      </w:r>
    </w:p>
    <w:p>
      <w:pPr>
        <w:pStyle w:val="62"/>
        <w:spacing w:line="360" w:lineRule="exact"/>
        <w:ind w:firstLine="420"/>
        <w:rPr>
          <w:rFonts w:ascii="Times New Roman"/>
          <w:color w:val="auto"/>
          <w:highlight w:val="none"/>
        </w:rPr>
      </w:pPr>
      <w:r>
        <w:rPr>
          <w:rFonts w:ascii="Times New Roman"/>
          <w:i/>
          <w:iCs/>
          <w:color w:val="auto"/>
          <w:kern w:val="2"/>
          <w:szCs w:val="21"/>
          <w:highlight w:val="none"/>
        </w:rPr>
        <w:t>ρ</w:t>
      </w:r>
      <w:r>
        <w:rPr>
          <w:rFonts w:hint="eastAsia" w:ascii="Times New Roman"/>
          <w:color w:val="auto"/>
          <w:kern w:val="2"/>
          <w:szCs w:val="21"/>
          <w:highlight w:val="none"/>
          <w:vertAlign w:val="subscript"/>
        </w:rPr>
        <w:t>s</w:t>
      </w:r>
      <w:r>
        <w:rPr>
          <w:rFonts w:ascii="Times New Roman"/>
          <w:color w:val="auto"/>
          <w:highlight w:val="none"/>
        </w:rPr>
        <w:t>——从</w:t>
      </w:r>
      <w:r>
        <w:rPr>
          <w:rFonts w:hint="eastAsia" w:ascii="Times New Roman"/>
          <w:color w:val="auto"/>
          <w:highlight w:val="none"/>
        </w:rPr>
        <w:t>标准曲线</w:t>
      </w:r>
      <w:r>
        <w:rPr>
          <w:rFonts w:ascii="Times New Roman"/>
          <w:color w:val="auto"/>
          <w:highlight w:val="none"/>
        </w:rPr>
        <w:t>上查得</w:t>
      </w:r>
      <w:r>
        <w:rPr>
          <w:rFonts w:hint="eastAsia" w:ascii="Times New Roman"/>
          <w:color w:val="auto"/>
          <w:highlight w:val="none"/>
          <w:lang w:val="en-US" w:eastAsia="zh-CN"/>
        </w:rPr>
        <w:t>上机测定</w:t>
      </w:r>
      <w:r>
        <w:rPr>
          <w:rFonts w:hint="eastAsia" w:ascii="Times New Roman"/>
          <w:color w:val="auto"/>
          <w:highlight w:val="none"/>
        </w:rPr>
        <w:t>溶液</w:t>
      </w:r>
      <w:r>
        <w:rPr>
          <w:rFonts w:ascii="Times New Roman"/>
          <w:color w:val="auto"/>
          <w:highlight w:val="none"/>
        </w:rPr>
        <w:t>中</w:t>
      </w:r>
      <w:r>
        <w:rPr>
          <w:rFonts w:hint="eastAsia" w:ascii="Times New Roman"/>
          <w:color w:val="auto"/>
          <w:highlight w:val="none"/>
        </w:rPr>
        <w:t>硫</w:t>
      </w:r>
      <w:r>
        <w:rPr>
          <w:rFonts w:ascii="Times New Roman"/>
          <w:color w:val="auto"/>
          <w:highlight w:val="none"/>
        </w:rPr>
        <w:t>的质量浓度</w:t>
      </w:r>
      <w:r>
        <w:rPr>
          <w:rFonts w:hint="eastAsia" w:ascii="Times New Roman"/>
          <w:color w:val="auto"/>
          <w:highlight w:val="none"/>
        </w:rPr>
        <w:t>的数值</w:t>
      </w:r>
      <w:r>
        <w:rPr>
          <w:rFonts w:ascii="Times New Roman"/>
          <w:color w:val="auto"/>
          <w:highlight w:val="none"/>
        </w:rPr>
        <w:t>，单位为微克每毫升（μg/mL）；</w:t>
      </w:r>
    </w:p>
    <w:p>
      <w:pPr>
        <w:pStyle w:val="62"/>
        <w:spacing w:line="360" w:lineRule="exact"/>
        <w:ind w:firstLine="420"/>
        <w:rPr>
          <w:rFonts w:ascii="Times New Roman"/>
          <w:color w:val="auto"/>
          <w:highlight w:val="none"/>
        </w:rPr>
      </w:pPr>
      <w:r>
        <w:rPr>
          <w:rFonts w:ascii="Times New Roman"/>
          <w:i/>
          <w:iCs/>
          <w:color w:val="auto"/>
          <w:kern w:val="2"/>
          <w:szCs w:val="21"/>
          <w:highlight w:val="none"/>
        </w:rPr>
        <w:t>ρ</w:t>
      </w:r>
      <w:r>
        <w:rPr>
          <w:rFonts w:hint="eastAsia" w:ascii="Times New Roman"/>
          <w:color w:val="auto"/>
          <w:kern w:val="2"/>
          <w:szCs w:val="21"/>
          <w:highlight w:val="none"/>
          <w:vertAlign w:val="subscript"/>
        </w:rPr>
        <w:t>0</w:t>
      </w:r>
      <w:r>
        <w:rPr>
          <w:rFonts w:ascii="Times New Roman"/>
          <w:color w:val="auto"/>
          <w:highlight w:val="none"/>
        </w:rPr>
        <w:t>——从</w:t>
      </w:r>
      <w:r>
        <w:rPr>
          <w:rFonts w:hint="eastAsia" w:ascii="Times New Roman"/>
          <w:color w:val="auto"/>
          <w:highlight w:val="none"/>
        </w:rPr>
        <w:t>标准曲线</w:t>
      </w:r>
      <w:r>
        <w:rPr>
          <w:rFonts w:ascii="Times New Roman"/>
          <w:color w:val="auto"/>
          <w:highlight w:val="none"/>
        </w:rPr>
        <w:t>上查得</w:t>
      </w:r>
      <w:r>
        <w:rPr>
          <w:rFonts w:hint="eastAsia" w:ascii="Times New Roman"/>
          <w:color w:val="auto"/>
          <w:highlight w:val="none"/>
          <w:lang w:val="en-US" w:eastAsia="zh-CN"/>
        </w:rPr>
        <w:t>上机测定</w:t>
      </w:r>
      <w:r>
        <w:rPr>
          <w:rFonts w:ascii="Times New Roman"/>
          <w:color w:val="auto"/>
          <w:highlight w:val="none"/>
        </w:rPr>
        <w:t>空白</w:t>
      </w:r>
      <w:r>
        <w:rPr>
          <w:rFonts w:hint="eastAsia" w:ascii="Times New Roman"/>
          <w:color w:val="auto"/>
          <w:highlight w:val="none"/>
        </w:rPr>
        <w:t>溶</w:t>
      </w:r>
      <w:r>
        <w:rPr>
          <w:rFonts w:ascii="Times New Roman"/>
          <w:color w:val="auto"/>
          <w:highlight w:val="none"/>
        </w:rPr>
        <w:t>液中</w:t>
      </w:r>
      <w:r>
        <w:rPr>
          <w:rFonts w:hint="eastAsia" w:ascii="Times New Roman"/>
          <w:color w:val="auto"/>
          <w:highlight w:val="none"/>
        </w:rPr>
        <w:t>硫</w:t>
      </w:r>
      <w:r>
        <w:rPr>
          <w:rFonts w:ascii="Times New Roman"/>
          <w:color w:val="auto"/>
          <w:highlight w:val="none"/>
        </w:rPr>
        <w:t>的质量浓度</w:t>
      </w:r>
      <w:r>
        <w:rPr>
          <w:rFonts w:hint="eastAsia" w:ascii="Times New Roman"/>
          <w:color w:val="auto"/>
          <w:highlight w:val="none"/>
        </w:rPr>
        <w:t>的数值</w:t>
      </w:r>
      <w:r>
        <w:rPr>
          <w:rFonts w:ascii="Times New Roman"/>
          <w:color w:val="auto"/>
          <w:highlight w:val="none"/>
        </w:rPr>
        <w:t>，单位为微克每毫升（μg/mL）；</w:t>
      </w:r>
    </w:p>
    <w:p>
      <w:pPr>
        <w:pStyle w:val="62"/>
        <w:spacing w:line="360" w:lineRule="exact"/>
        <w:ind w:firstLine="420"/>
        <w:rPr>
          <w:rFonts w:ascii="Times New Roman"/>
          <w:color w:val="auto"/>
          <w:highlight w:val="none"/>
        </w:rPr>
      </w:pPr>
      <w:r>
        <w:rPr>
          <w:rFonts w:hint="eastAsia" w:ascii="Times New Roman"/>
          <w:i/>
          <w:iCs/>
          <w:color w:val="auto"/>
          <w:highlight w:val="none"/>
        </w:rPr>
        <w:t>m</w:t>
      </w:r>
      <w:r>
        <w:rPr>
          <w:rFonts w:ascii="Times New Roman"/>
          <w:color w:val="auto"/>
          <w:highlight w:val="none"/>
        </w:rPr>
        <w:t>——试料的质量</w:t>
      </w:r>
      <w:r>
        <w:rPr>
          <w:rFonts w:hint="eastAsia" w:ascii="Times New Roman"/>
          <w:color w:val="auto"/>
          <w:highlight w:val="none"/>
        </w:rPr>
        <w:t>的数值</w:t>
      </w:r>
      <w:r>
        <w:rPr>
          <w:rFonts w:ascii="Times New Roman"/>
          <w:color w:val="auto"/>
          <w:highlight w:val="none"/>
        </w:rPr>
        <w:t>，单位为克（g）</w:t>
      </w:r>
      <w:r>
        <w:rPr>
          <w:rFonts w:hint="eastAsia" w:ascii="Times New Roman"/>
          <w:color w:val="auto"/>
          <w:highlight w:val="none"/>
        </w:rPr>
        <w:t>。</w:t>
      </w:r>
    </w:p>
    <w:p>
      <w:pPr>
        <w:adjustRightInd w:val="0"/>
        <w:spacing w:line="400" w:lineRule="exact"/>
        <w:ind w:firstLine="420" w:firstLineChars="200"/>
        <w:rPr>
          <w:rFonts w:ascii="Calibri" w:hAnsi="Calibri"/>
          <w:color w:val="auto"/>
          <w:szCs w:val="20"/>
          <w:highlight w:val="none"/>
          <w14:ligatures w14:val="none"/>
        </w:rPr>
      </w:pPr>
      <w:r>
        <w:rPr>
          <w:rFonts w:ascii="Calibri" w:hAnsi="宋体"/>
          <w:color w:val="auto"/>
          <w:szCs w:val="20"/>
          <w:highlight w:val="none"/>
          <w14:ligatures w14:val="none"/>
        </w:rPr>
        <w:t>试验结果以平行测定结果的算术平均值为测定结果。</w:t>
      </w:r>
      <w:r>
        <w:rPr>
          <w:rFonts w:hint="eastAsia" w:ascii="Calibri" w:hAnsi="宋体"/>
          <w:color w:val="auto"/>
          <w:szCs w:val="20"/>
          <w:highlight w:val="none"/>
          <w14:ligatures w14:val="none"/>
        </w:rPr>
        <w:t>两次平行测定结果的绝对差值与算术平均值之比不大于</w:t>
      </w:r>
      <w:r>
        <w:rPr>
          <w:color w:val="auto"/>
          <w:szCs w:val="20"/>
          <w:highlight w:val="none"/>
          <w14:ligatures w14:val="none"/>
        </w:rPr>
        <w:t>20 %</w:t>
      </w:r>
      <w:r>
        <w:rPr>
          <w:rFonts w:hint="eastAsia" w:ascii="Calibri" w:hAnsi="宋体"/>
          <w:color w:val="auto"/>
          <w:szCs w:val="20"/>
          <w:highlight w:val="none"/>
          <w14:ligatures w14:val="none"/>
        </w:rPr>
        <w:t>。</w:t>
      </w:r>
    </w:p>
    <w:p>
      <w:pPr>
        <w:widowControl/>
        <w:numPr>
          <w:ilvl w:val="2"/>
          <w:numId w:val="2"/>
        </w:numPr>
        <w:adjustRightInd/>
        <w:spacing w:beforeLines="50" w:afterLines="50" w:line="360" w:lineRule="exact"/>
        <w:outlineLvl w:val="1"/>
        <w:rPr>
          <w:rFonts w:hint="eastAsia" w:ascii="黑体" w:hAnsi="黑体" w:eastAsia="黑体" w:cs="黑体"/>
          <w:color w:val="auto"/>
          <w:highlight w:val="none"/>
        </w:rPr>
      </w:pPr>
      <w:r>
        <w:rPr>
          <w:rFonts w:hint="eastAsia" w:ascii="黑体" w:hAnsi="黑体" w:eastAsia="黑体" w:cs="黑体"/>
          <w:color w:val="auto"/>
          <w:highlight w:val="none"/>
        </w:rPr>
        <w:t>残余钠</w:t>
      </w:r>
      <w:r>
        <w:rPr>
          <w:rFonts w:hint="eastAsia" w:ascii="黑体" w:hAnsi="黑体" w:eastAsia="黑体" w:cs="黑体"/>
          <w:color w:val="auto"/>
          <w:highlight w:val="none"/>
          <w:lang w:val="en-US" w:eastAsia="zh-CN"/>
        </w:rPr>
        <w:t>含量</w:t>
      </w:r>
      <w:r>
        <w:rPr>
          <w:rFonts w:hint="eastAsia" w:ascii="黑体" w:hAnsi="黑体" w:eastAsia="黑体" w:cs="黑体"/>
          <w:color w:val="auto"/>
          <w:highlight w:val="none"/>
        </w:rPr>
        <w:t>的测定</w:t>
      </w:r>
    </w:p>
    <w:p>
      <w:pPr>
        <w:pStyle w:val="71"/>
        <w:spacing w:before="120" w:after="120" w:line="360" w:lineRule="exact"/>
        <w:ind w:left="0"/>
        <w:rPr>
          <w:rFonts w:hint="eastAsia"/>
          <w:color w:val="auto"/>
          <w:highlight w:val="none"/>
        </w:rPr>
      </w:pPr>
      <w:r>
        <w:rPr>
          <w:rFonts w:hint="eastAsia"/>
          <w:color w:val="auto"/>
          <w:highlight w:val="none"/>
        </w:rPr>
        <w:t>原理</w:t>
      </w:r>
    </w:p>
    <w:p>
      <w:pPr>
        <w:pStyle w:val="236"/>
        <w:tabs>
          <w:tab w:val="right" w:leader="dot" w:pos="0"/>
          <w:tab w:val="clear" w:pos="4201"/>
          <w:tab w:val="clear" w:pos="9298"/>
        </w:tabs>
        <w:spacing w:line="360" w:lineRule="exact"/>
        <w:ind w:left="-2"/>
        <w:rPr>
          <w:rFonts w:hint="eastAsia" w:ascii="黑体" w:hAnsi="黑体" w:eastAsia="黑体"/>
          <w:color w:val="auto"/>
          <w:highlight w:val="none"/>
        </w:rPr>
      </w:pPr>
      <w:r>
        <w:rPr>
          <w:rFonts w:hint="eastAsia" w:ascii="Times New Roman"/>
          <w:color w:val="auto"/>
          <w:kern w:val="2"/>
          <w:szCs w:val="21"/>
          <w:highlight w:val="none"/>
        </w:rPr>
        <w:t>用无水乙醇将试样表面的残余碱溶解，过滤后，使用电位滴定仪，用盐酸标准滴定溶液对滤液进行滴定，</w:t>
      </w:r>
      <w:r>
        <w:rPr>
          <w:rFonts w:hint="eastAsia" w:ascii="Times New Roman"/>
          <w:color w:val="auto"/>
          <w:kern w:val="2"/>
          <w:szCs w:val="21"/>
          <w:highlight w:val="none"/>
          <w:lang w:val="en-US" w:eastAsia="zh-CN"/>
        </w:rPr>
        <w:t>使用2种指示剂分别确定</w:t>
      </w:r>
      <w:r>
        <w:rPr>
          <w:rFonts w:hint="eastAsia" w:ascii="Times New Roman"/>
          <w:color w:val="auto"/>
          <w:kern w:val="2"/>
          <w:szCs w:val="21"/>
          <w:highlight w:val="none"/>
        </w:rPr>
        <w:t>滴定终点。</w:t>
      </w:r>
    </w:p>
    <w:p>
      <w:pPr>
        <w:pStyle w:val="71"/>
        <w:spacing w:before="120" w:after="120" w:line="360" w:lineRule="exact"/>
        <w:ind w:left="0"/>
        <w:rPr>
          <w:rFonts w:hint="eastAsia"/>
          <w:color w:val="auto"/>
          <w:highlight w:val="none"/>
        </w:rPr>
      </w:pPr>
      <w:r>
        <w:rPr>
          <w:rFonts w:hint="eastAsia"/>
          <w:color w:val="auto"/>
          <w:highlight w:val="none"/>
        </w:rPr>
        <w:t>试剂或材料</w:t>
      </w:r>
    </w:p>
    <w:p>
      <w:pPr>
        <w:widowControl/>
        <w:numPr>
          <w:ilvl w:val="4"/>
          <w:numId w:val="2"/>
        </w:numPr>
        <w:adjustRightInd/>
        <w:spacing w:line="360" w:lineRule="exact"/>
        <w:outlineLvl w:val="3"/>
        <w:rPr>
          <w:rFonts w:hint="eastAsia" w:ascii="Times New Roman" w:hAnsi="Times New Roman"/>
          <w:color w:val="auto"/>
          <w:kern w:val="0"/>
          <w:szCs w:val="20"/>
          <w:highlight w:val="none"/>
        </w:rPr>
      </w:pPr>
      <w:r>
        <w:rPr>
          <w:rFonts w:hint="eastAsia" w:ascii="Times New Roman" w:hAnsi="Times New Roman"/>
          <w:color w:val="auto"/>
          <w:kern w:val="0"/>
          <w:szCs w:val="20"/>
          <w:highlight w:val="none"/>
        </w:rPr>
        <w:t>无水乙醇。</w:t>
      </w:r>
    </w:p>
    <w:p>
      <w:pPr>
        <w:widowControl/>
        <w:numPr>
          <w:ilvl w:val="4"/>
          <w:numId w:val="2"/>
        </w:numPr>
        <w:adjustRightInd/>
        <w:spacing w:line="360" w:lineRule="exact"/>
        <w:outlineLvl w:val="3"/>
        <w:rPr>
          <w:rFonts w:ascii="Times New Roman" w:hAnsi="Times New Roman"/>
          <w:color w:val="auto"/>
          <w:kern w:val="0"/>
          <w:szCs w:val="20"/>
          <w:highlight w:val="none"/>
        </w:rPr>
      </w:pPr>
      <w:bookmarkStart w:id="39" w:name="_Hlk196344613"/>
      <w:r>
        <w:rPr>
          <w:rFonts w:hint="eastAsia" w:ascii="Times New Roman" w:hAnsi="Times New Roman"/>
          <w:color w:val="auto"/>
          <w:kern w:val="0"/>
          <w:szCs w:val="20"/>
          <w:highlight w:val="none"/>
        </w:rPr>
        <w:t>盐酸标准滴定溶液：</w:t>
      </w:r>
      <w:r>
        <w:rPr>
          <w:rFonts w:hint="eastAsia" w:ascii="Times New Roman" w:hAnsi="Times New Roman"/>
          <w:i/>
          <w:iCs/>
          <w:color w:val="auto"/>
          <w:kern w:val="0"/>
          <w:szCs w:val="20"/>
          <w:highlight w:val="none"/>
        </w:rPr>
        <w:t>c</w:t>
      </w:r>
      <w:r>
        <w:rPr>
          <w:rFonts w:hint="eastAsia" w:ascii="Times New Roman" w:hAnsi="Times New Roman"/>
          <w:color w:val="auto"/>
          <w:kern w:val="0"/>
          <w:szCs w:val="20"/>
          <w:highlight w:val="none"/>
        </w:rPr>
        <w:t>（HCl）≈0.1</w:t>
      </w:r>
      <w:r>
        <w:rPr>
          <w:rFonts w:hint="eastAsia" w:ascii="Times New Roman" w:hAnsi="Times New Roman"/>
          <w:color w:val="auto"/>
          <w:kern w:val="0"/>
          <w:szCs w:val="20"/>
          <w:highlight w:val="none"/>
          <w:lang w:val="en-US" w:eastAsia="zh-CN"/>
        </w:rPr>
        <w:t xml:space="preserve"> </w:t>
      </w:r>
      <w:r>
        <w:rPr>
          <w:rFonts w:hint="eastAsia" w:ascii="Times New Roman" w:hAnsi="Times New Roman"/>
          <w:color w:val="auto"/>
          <w:kern w:val="0"/>
          <w:szCs w:val="20"/>
          <w:highlight w:val="none"/>
        </w:rPr>
        <w:t>mol/L。</w:t>
      </w:r>
    </w:p>
    <w:bookmarkEnd w:id="39"/>
    <w:p>
      <w:pPr>
        <w:widowControl/>
        <w:numPr>
          <w:ilvl w:val="4"/>
          <w:numId w:val="2"/>
        </w:numPr>
        <w:adjustRightInd/>
        <w:spacing w:line="360" w:lineRule="exact"/>
        <w:outlineLvl w:val="3"/>
        <w:rPr>
          <w:rFonts w:hint="eastAsia" w:ascii="Times New Roman" w:hAnsi="Times New Roman"/>
          <w:color w:val="auto"/>
          <w:kern w:val="0"/>
          <w:szCs w:val="20"/>
          <w:highlight w:val="none"/>
        </w:rPr>
      </w:pPr>
      <w:bookmarkStart w:id="40" w:name="_Hlk196639327"/>
      <w:r>
        <w:rPr>
          <w:rFonts w:hint="eastAsia" w:ascii="Times New Roman" w:hAnsi="Times New Roman"/>
          <w:color w:val="auto"/>
          <w:kern w:val="0"/>
          <w:szCs w:val="20"/>
          <w:highlight w:val="none"/>
        </w:rPr>
        <w:t>盐酸标准滴定溶液：</w:t>
      </w:r>
      <w:r>
        <w:rPr>
          <w:rFonts w:hint="eastAsia" w:ascii="Times New Roman" w:hAnsi="Times New Roman"/>
          <w:i/>
          <w:iCs/>
          <w:color w:val="auto"/>
          <w:kern w:val="0"/>
          <w:szCs w:val="20"/>
          <w:highlight w:val="none"/>
        </w:rPr>
        <w:t>c</w:t>
      </w:r>
      <w:r>
        <w:rPr>
          <w:rFonts w:hint="eastAsia" w:ascii="Times New Roman" w:hAnsi="Times New Roman"/>
          <w:color w:val="auto"/>
          <w:kern w:val="0"/>
          <w:szCs w:val="20"/>
          <w:highlight w:val="none"/>
        </w:rPr>
        <w:t>（HCl）≈0.25 mol/L。按下列方法进行配制、标定和结果计算。</w:t>
      </w:r>
    </w:p>
    <w:p>
      <w:pPr>
        <w:numPr>
          <w:ilvl w:val="0"/>
          <w:numId w:val="33"/>
        </w:numPr>
        <w:adjustRightInd/>
        <w:spacing w:line="360" w:lineRule="exact"/>
        <w:contextualSpacing/>
        <w:rPr>
          <w:rFonts w:ascii="Times New Roman" w:hAnsi="Times New Roman"/>
          <w:color w:val="auto"/>
          <w:kern w:val="0"/>
          <w:szCs w:val="20"/>
          <w:highlight w:val="none"/>
        </w:rPr>
      </w:pPr>
      <w:r>
        <w:rPr>
          <w:rFonts w:hint="eastAsia" w:ascii="Times New Roman" w:hAnsi="Times New Roman"/>
          <w:color w:val="auto"/>
          <w:kern w:val="0"/>
          <w:szCs w:val="20"/>
          <w:highlight w:val="none"/>
        </w:rPr>
        <w:t>配制：移取22.5 mL盐酸，注入1000 mL水中，混匀。</w:t>
      </w:r>
    </w:p>
    <w:p>
      <w:pPr>
        <w:numPr>
          <w:ilvl w:val="0"/>
          <w:numId w:val="33"/>
        </w:numPr>
        <w:adjustRightInd/>
        <w:spacing w:line="360" w:lineRule="exact"/>
        <w:contextualSpacing/>
        <w:rPr>
          <w:rFonts w:ascii="Times New Roman" w:hAnsi="Times New Roman"/>
          <w:color w:val="auto"/>
          <w:kern w:val="0"/>
          <w:szCs w:val="20"/>
          <w:highlight w:val="none"/>
        </w:rPr>
      </w:pPr>
      <w:r>
        <w:rPr>
          <w:rFonts w:hint="eastAsia" w:ascii="Times New Roman" w:hAnsi="Times New Roman"/>
          <w:color w:val="auto"/>
          <w:kern w:val="0"/>
          <w:szCs w:val="20"/>
          <w:highlight w:val="none"/>
        </w:rPr>
        <w:t>标定：称取0.4 g于270℃～300℃灼烧至质量恒定的基准无水碳酸钠，精确至0.000 2 g，溶于50 mL水中，加10滴溴甲酚绿—甲基红混合指示液，用配制好的盐酸标准滴定溶液滴定至溶液由绿色变为暗红色，煮沸2 min，冷却后继续滴定至溶液再呈暗红色。同时作空白试验。</w:t>
      </w:r>
    </w:p>
    <w:p>
      <w:pPr>
        <w:numPr>
          <w:ilvl w:val="0"/>
          <w:numId w:val="33"/>
        </w:numPr>
        <w:adjustRightInd/>
        <w:spacing w:line="360" w:lineRule="exact"/>
        <w:contextualSpacing/>
        <w:rPr>
          <w:rFonts w:ascii="Times New Roman" w:hAnsi="Times New Roman"/>
          <w:color w:val="auto"/>
          <w:kern w:val="0"/>
          <w:szCs w:val="20"/>
          <w:highlight w:val="none"/>
        </w:rPr>
      </w:pPr>
      <w:r>
        <w:rPr>
          <w:rFonts w:hint="eastAsia" w:ascii="Times New Roman" w:hAnsi="Times New Roman"/>
          <w:color w:val="auto"/>
          <w:kern w:val="0"/>
          <w:szCs w:val="20"/>
          <w:highlight w:val="none"/>
        </w:rPr>
        <w:t>结果计算：</w:t>
      </w:r>
      <w:r>
        <w:rPr>
          <w:rFonts w:hint="eastAsia" w:ascii="Times New Roman" w:hAnsi="Times New Roman"/>
          <w:color w:val="auto"/>
          <w:szCs w:val="24"/>
          <w:highlight w:val="none"/>
        </w:rPr>
        <w:t>盐酸标准滴定溶液浓度</w:t>
      </w:r>
      <w:r>
        <w:rPr>
          <w:rFonts w:hint="eastAsia" w:ascii="Times New Roman" w:hAnsi="Times New Roman"/>
          <w:i/>
          <w:iCs/>
          <w:color w:val="auto"/>
          <w:szCs w:val="24"/>
          <w:highlight w:val="none"/>
        </w:rPr>
        <w:t>c</w:t>
      </w:r>
      <w:r>
        <w:rPr>
          <w:rFonts w:hint="eastAsia" w:ascii="Times New Roman" w:hAnsi="Times New Roman"/>
          <w:color w:val="auto"/>
          <w:szCs w:val="24"/>
          <w:highlight w:val="none"/>
        </w:rPr>
        <w:t xml:space="preserve">，数值以摩尔每升(mol/L)表示，按公式(5)计算： </w:t>
      </w:r>
    </w:p>
    <w:p>
      <w:pPr>
        <w:adjustRightInd/>
        <w:spacing w:line="360" w:lineRule="atLeast"/>
        <w:ind w:left="3570" w:hanging="3570" w:hangingChars="1700"/>
        <w:jc w:val="right"/>
        <w:rPr>
          <w:rFonts w:ascii="Times New Roman" w:hAnsi="Times New Roman"/>
          <w:color w:val="auto"/>
          <w:szCs w:val="24"/>
          <w:highlight w:val="none"/>
        </w:rPr>
      </w:pPr>
      <w:r>
        <w:rPr>
          <w:rFonts w:ascii="Times New Roman" w:hAnsi="Times New Roman"/>
          <w:color w:val="auto"/>
          <w:szCs w:val="24"/>
          <w:highlight w:val="none"/>
        </w:rPr>
        <w:t xml:space="preserve"> </w:t>
      </w:r>
      <w:r>
        <w:rPr>
          <w:rFonts w:hint="eastAsia" w:ascii="Times New Roman" w:hAnsi="Times New Roman"/>
          <w:color w:val="auto"/>
          <w:szCs w:val="24"/>
          <w:highlight w:val="none"/>
        </w:rPr>
        <w:t xml:space="preserve">                                    </w:t>
      </w:r>
      <w:r>
        <w:rPr>
          <w:rFonts w:ascii="宋体" w:hAnsi="宋体"/>
          <w:color w:val="auto"/>
          <w:position w:val="-30"/>
          <w:szCs w:val="24"/>
          <w:highlight w:val="none"/>
        </w:rPr>
        <w:object>
          <v:shape id="_x0000_i1029" o:spt="75" type="#_x0000_t75" style="height:33.8pt;width:83.1pt;" o:ole="t" filled="f" o:preferrelative="t" stroked="f" coordsize="21600,21600">
            <v:path/>
            <v:fill on="f" focussize="0,0"/>
            <v:stroke on="f"/>
            <v:imagedata r:id="rId21" o:title=""/>
            <o:lock v:ext="edit" aspectratio="t"/>
            <w10:wrap type="none"/>
            <w10:anchorlock/>
          </v:shape>
          <o:OLEObject Type="Embed" ProgID="Equation.3" ShapeID="_x0000_i1029" DrawAspect="Content" ObjectID="_1468075729" r:id="rId20">
            <o:LockedField>false</o:LockedField>
          </o:OLEObject>
        </w:object>
      </w:r>
      <w:r>
        <w:rPr>
          <w:rFonts w:hint="eastAsia" w:ascii="宋体" w:hAnsi="宋体"/>
          <w:color w:val="auto"/>
          <w:szCs w:val="24"/>
          <w:highlight w:val="none"/>
        </w:rPr>
        <w:t>……………………………………</w:t>
      </w:r>
      <w:r>
        <w:rPr>
          <w:rFonts w:hint="eastAsia" w:ascii="Times New Roman" w:hAnsi="Times New Roman"/>
          <w:color w:val="auto"/>
          <w:szCs w:val="24"/>
          <w:highlight w:val="none"/>
        </w:rPr>
        <w:t>(5)</w:t>
      </w:r>
    </w:p>
    <w:p>
      <w:pPr>
        <w:adjustRightInd/>
        <w:spacing w:line="360" w:lineRule="atLeast"/>
        <w:ind w:firstLine="840" w:firstLineChars="400"/>
        <w:rPr>
          <w:rFonts w:ascii="Times New Roman" w:hAnsi="Times New Roman"/>
          <w:color w:val="auto"/>
          <w:szCs w:val="24"/>
          <w:highlight w:val="none"/>
        </w:rPr>
      </w:pPr>
      <w:r>
        <w:rPr>
          <w:rFonts w:hint="eastAsia" w:ascii="Times New Roman" w:hAnsi="Times New Roman"/>
          <w:color w:val="auto"/>
          <w:szCs w:val="24"/>
          <w:highlight w:val="none"/>
        </w:rPr>
        <w:t>式中：</w:t>
      </w:r>
    </w:p>
    <w:p>
      <w:pPr>
        <w:adjustRightInd/>
        <w:spacing w:line="360" w:lineRule="exact"/>
        <w:ind w:firstLine="854" w:firstLineChars="407"/>
        <w:rPr>
          <w:rFonts w:ascii="Times New Roman" w:hAnsi="Times New Roman"/>
          <w:color w:val="auto"/>
          <w:szCs w:val="24"/>
          <w:highlight w:val="none"/>
        </w:rPr>
      </w:pPr>
      <w:r>
        <w:rPr>
          <w:rFonts w:hint="eastAsia" w:ascii="Times New Roman" w:hAnsi="Times New Roman"/>
          <w:i/>
          <w:iCs/>
          <w:color w:val="auto"/>
          <w:szCs w:val="24"/>
          <w:highlight w:val="none"/>
        </w:rPr>
        <w:t>V</w:t>
      </w:r>
      <w:r>
        <w:rPr>
          <w:rFonts w:hint="eastAsia" w:ascii="Times New Roman" w:hAnsi="Times New Roman"/>
          <w:iCs/>
          <w:color w:val="auto"/>
          <w:szCs w:val="24"/>
          <w:highlight w:val="none"/>
          <w:vertAlign w:val="subscript"/>
        </w:rPr>
        <w:t>1</w:t>
      </w:r>
      <w:r>
        <w:rPr>
          <w:rFonts w:ascii="Times New Roman" w:hAnsi="Times New Roman"/>
          <w:color w:val="auto"/>
          <w:szCs w:val="24"/>
          <w:highlight w:val="none"/>
        </w:rPr>
        <w:t>——</w:t>
      </w:r>
      <w:r>
        <w:rPr>
          <w:rFonts w:hint="eastAsia" w:ascii="Times New Roman" w:hAnsi="Times New Roman"/>
          <w:color w:val="auto"/>
          <w:szCs w:val="24"/>
          <w:highlight w:val="none"/>
        </w:rPr>
        <w:t>滴定时所消耗的盐酸标准滴定溶液的体积的数值，单位为毫升(mL)；</w:t>
      </w:r>
    </w:p>
    <w:p>
      <w:pPr>
        <w:adjustRightInd/>
        <w:spacing w:line="360" w:lineRule="exact"/>
        <w:ind w:firstLine="854" w:firstLineChars="407"/>
        <w:rPr>
          <w:rFonts w:ascii="Times New Roman" w:hAnsi="Times New Roman"/>
          <w:color w:val="auto"/>
          <w:szCs w:val="24"/>
          <w:highlight w:val="none"/>
        </w:rPr>
      </w:pPr>
      <w:r>
        <w:rPr>
          <w:rFonts w:hint="eastAsia" w:ascii="Times New Roman" w:hAnsi="Times New Roman"/>
          <w:i/>
          <w:iCs/>
          <w:color w:val="auto"/>
          <w:szCs w:val="24"/>
          <w:highlight w:val="none"/>
        </w:rPr>
        <w:t>V</w:t>
      </w:r>
      <w:r>
        <w:rPr>
          <w:rFonts w:hint="eastAsia" w:ascii="Times New Roman" w:hAnsi="Times New Roman"/>
          <w:iCs/>
          <w:color w:val="auto"/>
          <w:szCs w:val="24"/>
          <w:highlight w:val="none"/>
          <w:vertAlign w:val="subscript"/>
        </w:rPr>
        <w:t>2</w:t>
      </w:r>
      <w:r>
        <w:rPr>
          <w:rFonts w:ascii="Times New Roman" w:hAnsi="Times New Roman"/>
          <w:color w:val="auto"/>
          <w:szCs w:val="24"/>
          <w:highlight w:val="none"/>
        </w:rPr>
        <w:t>——</w:t>
      </w:r>
      <w:r>
        <w:rPr>
          <w:rFonts w:hint="eastAsia" w:ascii="Times New Roman" w:hAnsi="Times New Roman"/>
          <w:color w:val="auto"/>
          <w:szCs w:val="24"/>
          <w:highlight w:val="none"/>
        </w:rPr>
        <w:t>空白试验所消耗的盐酸标准滴定溶液的体积的数值，单位为毫升(mL)；</w:t>
      </w:r>
    </w:p>
    <w:p>
      <w:pPr>
        <w:adjustRightInd/>
        <w:spacing w:line="360" w:lineRule="exact"/>
        <w:ind w:firstLine="840" w:firstLineChars="400"/>
        <w:rPr>
          <w:rFonts w:ascii="Times New Roman" w:hAnsi="Times New Roman"/>
          <w:color w:val="auto"/>
          <w:szCs w:val="24"/>
          <w:highlight w:val="none"/>
        </w:rPr>
      </w:pPr>
      <w:r>
        <w:rPr>
          <w:rFonts w:hint="eastAsia" w:ascii="Times New Roman" w:hAnsi="Times New Roman"/>
          <w:i/>
          <w:color w:val="auto"/>
          <w:szCs w:val="24"/>
          <w:highlight w:val="none"/>
        </w:rPr>
        <w:t>m</w:t>
      </w:r>
      <w:r>
        <w:rPr>
          <w:rFonts w:ascii="Times New Roman" w:hAnsi="Times New Roman"/>
          <w:color w:val="auto"/>
          <w:szCs w:val="24"/>
          <w:highlight w:val="none"/>
        </w:rPr>
        <w:t>——</w:t>
      </w:r>
      <w:r>
        <w:rPr>
          <w:rFonts w:hint="eastAsia" w:ascii="Times New Roman" w:hAnsi="Times New Roman"/>
          <w:color w:val="auto"/>
          <w:szCs w:val="24"/>
          <w:highlight w:val="none"/>
        </w:rPr>
        <w:t>称取基准无水碳酸钠质量的数值，单位为克(g)；</w:t>
      </w:r>
    </w:p>
    <w:p>
      <w:pPr>
        <w:adjustRightInd/>
        <w:spacing w:line="360" w:lineRule="exact"/>
        <w:ind w:firstLine="840" w:firstLineChars="400"/>
        <w:rPr>
          <w:rFonts w:ascii="Times New Roman" w:hAnsi="Times New Roman"/>
          <w:color w:val="auto"/>
          <w:szCs w:val="24"/>
          <w:highlight w:val="none"/>
        </w:rPr>
      </w:pPr>
      <w:r>
        <w:rPr>
          <w:rFonts w:hint="eastAsia" w:ascii="Times New Roman" w:hAnsi="Times New Roman"/>
          <w:i/>
          <w:iCs/>
          <w:color w:val="auto"/>
          <w:szCs w:val="24"/>
          <w:highlight w:val="none"/>
        </w:rPr>
        <w:t>M</w:t>
      </w:r>
      <w:r>
        <w:rPr>
          <w:rFonts w:ascii="Times New Roman" w:hAnsi="Times New Roman"/>
          <w:color w:val="auto"/>
          <w:szCs w:val="24"/>
          <w:highlight w:val="none"/>
        </w:rPr>
        <w:t>——</w:t>
      </w:r>
      <w:r>
        <w:rPr>
          <w:rFonts w:hint="eastAsia" w:ascii="Times New Roman" w:hAnsi="Times New Roman"/>
          <w:color w:val="auto"/>
          <w:szCs w:val="24"/>
          <w:highlight w:val="none"/>
        </w:rPr>
        <w:t>无水碳酸钠(1/2Na</w:t>
      </w:r>
      <w:r>
        <w:rPr>
          <w:rFonts w:hint="eastAsia" w:ascii="Times New Roman" w:hAnsi="Times New Roman"/>
          <w:color w:val="auto"/>
          <w:szCs w:val="24"/>
          <w:highlight w:val="none"/>
          <w:vertAlign w:val="subscript"/>
        </w:rPr>
        <w:t>2</w:t>
      </w:r>
      <w:r>
        <w:rPr>
          <w:rFonts w:hint="eastAsia" w:ascii="Times New Roman" w:hAnsi="Times New Roman"/>
          <w:color w:val="auto"/>
          <w:szCs w:val="24"/>
          <w:highlight w:val="none"/>
        </w:rPr>
        <w:t>CO</w:t>
      </w:r>
      <w:r>
        <w:rPr>
          <w:rFonts w:hint="eastAsia" w:ascii="Times New Roman" w:hAnsi="Times New Roman"/>
          <w:color w:val="auto"/>
          <w:szCs w:val="24"/>
          <w:highlight w:val="none"/>
          <w:vertAlign w:val="subscript"/>
        </w:rPr>
        <w:t>3</w:t>
      </w:r>
      <w:r>
        <w:rPr>
          <w:rFonts w:hint="eastAsia" w:ascii="Times New Roman" w:hAnsi="Times New Roman"/>
          <w:color w:val="auto"/>
          <w:szCs w:val="24"/>
          <w:highlight w:val="none"/>
        </w:rPr>
        <w:t>)的摩尔质量的数值，单位为克每摩尔(g/mol)(</w:t>
      </w:r>
      <w:r>
        <w:rPr>
          <w:rFonts w:hint="eastAsia" w:ascii="Times New Roman" w:hAnsi="Times New Roman"/>
          <w:i/>
          <w:iCs/>
          <w:color w:val="auto"/>
          <w:szCs w:val="24"/>
          <w:highlight w:val="none"/>
        </w:rPr>
        <w:t>M</w:t>
      </w:r>
      <w:r>
        <w:rPr>
          <w:rFonts w:hint="eastAsia" w:ascii="Times New Roman" w:hAnsi="Times New Roman"/>
          <w:color w:val="auto"/>
          <w:szCs w:val="24"/>
          <w:highlight w:val="none"/>
        </w:rPr>
        <w:t>=52.99)。</w:t>
      </w:r>
    </w:p>
    <w:p>
      <w:pPr>
        <w:adjustRightInd/>
        <w:spacing w:line="360" w:lineRule="exact"/>
        <w:ind w:firstLine="840" w:firstLineChars="400"/>
        <w:rPr>
          <w:rFonts w:ascii="Times New Roman" w:hAnsi="Times New Roman"/>
          <w:color w:val="auto"/>
          <w:szCs w:val="24"/>
          <w:highlight w:val="none"/>
        </w:rPr>
      </w:pPr>
      <w:r>
        <w:rPr>
          <w:rFonts w:hint="eastAsia" w:ascii="宋体" w:hAnsi="Times New Roman"/>
          <w:color w:val="auto"/>
          <w:kern w:val="0"/>
          <w:szCs w:val="20"/>
          <w:highlight w:val="none"/>
        </w:rPr>
        <w:t>两人同时做三平行，每人三平行测定结果的极差与平均值之比不应大于</w:t>
      </w:r>
      <w:r>
        <w:rPr>
          <w:rFonts w:ascii="Times New Roman" w:hAnsi="Times New Roman"/>
          <w:color w:val="auto"/>
          <w:kern w:val="0"/>
          <w:szCs w:val="20"/>
          <w:highlight w:val="none"/>
        </w:rPr>
        <w:t>0.2</w:t>
      </w:r>
      <w:r>
        <w:rPr>
          <w:rFonts w:hint="eastAsia" w:ascii="Times New Roman" w:hAnsi="Times New Roman"/>
          <w:color w:val="auto"/>
          <w:kern w:val="0"/>
          <w:szCs w:val="20"/>
          <w:highlight w:val="none"/>
        </w:rPr>
        <w:t xml:space="preserve"> </w:t>
      </w:r>
      <w:r>
        <w:rPr>
          <w:rFonts w:ascii="Times New Roman" w:hAnsi="Times New Roman"/>
          <w:color w:val="auto"/>
          <w:kern w:val="0"/>
          <w:szCs w:val="20"/>
          <w:highlight w:val="none"/>
        </w:rPr>
        <w:t>%，两人测定结果之差与两人测定结果平均值之比不应大于0.2</w:t>
      </w:r>
      <w:r>
        <w:rPr>
          <w:rFonts w:hint="eastAsia" w:ascii="Times New Roman" w:hAnsi="Times New Roman"/>
          <w:color w:val="auto"/>
          <w:kern w:val="0"/>
          <w:szCs w:val="20"/>
          <w:highlight w:val="none"/>
        </w:rPr>
        <w:t xml:space="preserve"> </w:t>
      </w:r>
      <w:r>
        <w:rPr>
          <w:rFonts w:ascii="Times New Roman" w:hAnsi="Times New Roman"/>
          <w:color w:val="auto"/>
          <w:kern w:val="0"/>
          <w:szCs w:val="20"/>
          <w:highlight w:val="none"/>
        </w:rPr>
        <w:t>%。取两人六平行标定结果的平均值为标定结果，浓度取4位有效数字</w:t>
      </w:r>
      <w:bookmarkEnd w:id="40"/>
      <w:r>
        <w:rPr>
          <w:rFonts w:ascii="Times New Roman" w:hAnsi="Times New Roman"/>
          <w:color w:val="auto"/>
          <w:kern w:val="0"/>
          <w:szCs w:val="20"/>
          <w:highlight w:val="none"/>
        </w:rPr>
        <w:t>。</w:t>
      </w:r>
    </w:p>
    <w:p>
      <w:pPr>
        <w:widowControl/>
        <w:numPr>
          <w:ilvl w:val="4"/>
          <w:numId w:val="2"/>
        </w:numPr>
        <w:adjustRightInd/>
        <w:spacing w:line="360" w:lineRule="exact"/>
        <w:outlineLvl w:val="3"/>
        <w:rPr>
          <w:rFonts w:hint="eastAsia" w:ascii="Times New Roman" w:hAnsi="Times New Roman"/>
          <w:color w:val="auto"/>
          <w:kern w:val="0"/>
          <w:szCs w:val="20"/>
          <w:highlight w:val="none"/>
        </w:rPr>
      </w:pPr>
      <w:r>
        <w:rPr>
          <w:rFonts w:hint="eastAsia" w:ascii="Times New Roman" w:hAnsi="Times New Roman"/>
          <w:color w:val="auto"/>
          <w:kern w:val="0"/>
          <w:szCs w:val="20"/>
          <w:highlight w:val="none"/>
        </w:rPr>
        <w:t>甲酚红-亚甲基蓝混合指示液：</w:t>
      </w:r>
      <w:bookmarkStart w:id="41" w:name="_Hlk196382657"/>
      <w:r>
        <w:rPr>
          <w:rFonts w:hint="eastAsia" w:ascii="Times New Roman" w:hAnsi="Times New Roman"/>
          <w:color w:val="auto"/>
          <w:kern w:val="0"/>
          <w:szCs w:val="20"/>
          <w:highlight w:val="none"/>
        </w:rPr>
        <w:t>将2体积甲酚红指示液（1 g/L乙醇溶液）与1体积亚甲基蓝指示液（2 g/L乙醇溶液）混合。</w:t>
      </w:r>
      <w:bookmarkEnd w:id="41"/>
    </w:p>
    <w:p>
      <w:pPr>
        <w:widowControl/>
        <w:numPr>
          <w:ilvl w:val="4"/>
          <w:numId w:val="2"/>
        </w:numPr>
        <w:adjustRightInd/>
        <w:spacing w:line="360" w:lineRule="exact"/>
        <w:outlineLvl w:val="3"/>
        <w:rPr>
          <w:rFonts w:hint="eastAsia" w:ascii="Times New Roman" w:hAnsi="Times New Roman"/>
          <w:color w:val="auto"/>
          <w:kern w:val="0"/>
          <w:szCs w:val="20"/>
          <w:highlight w:val="none"/>
        </w:rPr>
      </w:pPr>
      <w:r>
        <w:rPr>
          <w:rFonts w:hint="eastAsia" w:ascii="Times New Roman" w:hAnsi="Times New Roman"/>
          <w:color w:val="auto"/>
          <w:kern w:val="0"/>
          <w:szCs w:val="20"/>
          <w:highlight w:val="none"/>
        </w:rPr>
        <w:t>甲基红-亚甲基蓝混合指示液：将2体积甲基红指示液（1 g/L乙醇溶液）与1体积亚甲基蓝指示液（2 g/L乙醇溶液）混合。</w:t>
      </w:r>
    </w:p>
    <w:p>
      <w:pPr>
        <w:pStyle w:val="71"/>
        <w:spacing w:before="120" w:after="120" w:line="360" w:lineRule="exact"/>
        <w:ind w:left="0"/>
        <w:rPr>
          <w:rFonts w:hint="eastAsia"/>
          <w:color w:val="auto"/>
          <w:highlight w:val="none"/>
        </w:rPr>
      </w:pPr>
      <w:r>
        <w:rPr>
          <w:rFonts w:hint="eastAsia"/>
          <w:color w:val="auto"/>
          <w:highlight w:val="none"/>
        </w:rPr>
        <w:t>仪器设备</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ascii="Times New Roman" w:hAnsi="Times New Roman"/>
          <w:color w:val="auto"/>
          <w:kern w:val="0"/>
          <w:szCs w:val="20"/>
          <w:highlight w:val="none"/>
        </w:rPr>
        <w:t>磁力搅拌器：配有搅拌子。</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ascii="Times New Roman" w:hAnsi="Times New Roman"/>
          <w:color w:val="auto"/>
          <w:kern w:val="0"/>
          <w:szCs w:val="20"/>
          <w:highlight w:val="none"/>
        </w:rPr>
        <w:t>膜式过滤装置：配有0.45 μm微孔滤膜。</w:t>
      </w:r>
    </w:p>
    <w:p>
      <w:pPr>
        <w:pStyle w:val="71"/>
        <w:spacing w:before="120" w:after="120" w:line="360" w:lineRule="exact"/>
        <w:ind w:left="0"/>
        <w:rPr>
          <w:rFonts w:hint="eastAsia"/>
          <w:color w:val="auto"/>
          <w:highlight w:val="none"/>
        </w:rPr>
      </w:pPr>
      <w:bookmarkStart w:id="42" w:name="_Hlk196344897"/>
      <w:r>
        <w:rPr>
          <w:rFonts w:hint="eastAsia"/>
          <w:color w:val="auto"/>
          <w:highlight w:val="none"/>
        </w:rPr>
        <w:t>试验步骤</w:t>
      </w:r>
    </w:p>
    <w:p>
      <w:pPr>
        <w:widowControl/>
        <w:numPr>
          <w:ilvl w:val="4"/>
          <w:numId w:val="2"/>
        </w:numPr>
        <w:adjustRightInd/>
        <w:spacing w:line="360" w:lineRule="exact"/>
        <w:outlineLvl w:val="3"/>
        <w:rPr>
          <w:rFonts w:hint="eastAsia" w:ascii="黑体" w:hAnsi="黑体" w:eastAsia="黑体" w:cs="黑体"/>
          <w:color w:val="auto"/>
          <w:kern w:val="0"/>
          <w:szCs w:val="20"/>
          <w:highlight w:val="none"/>
        </w:rPr>
      </w:pPr>
      <w:bookmarkStart w:id="43" w:name="_Hlk196345213"/>
      <w:r>
        <w:rPr>
          <w:rFonts w:hint="eastAsia" w:ascii="黑体" w:hAnsi="黑体" w:eastAsia="黑体" w:cs="黑体"/>
          <w:color w:val="auto"/>
          <w:kern w:val="0"/>
          <w:szCs w:val="20"/>
          <w:highlight w:val="none"/>
        </w:rPr>
        <w:t>试验溶液的制备</w:t>
      </w:r>
    </w:p>
    <w:p>
      <w:pPr>
        <w:pStyle w:val="18"/>
        <w:spacing w:line="400" w:lineRule="exact"/>
        <w:ind w:firstLine="420" w:firstLineChars="200"/>
        <w:rPr>
          <w:rFonts w:hint="eastAsia"/>
          <w:color w:val="auto"/>
          <w:kern w:val="0"/>
          <w:szCs w:val="21"/>
          <w:highlight w:val="none"/>
        </w:rPr>
      </w:pPr>
      <w:r>
        <w:rPr>
          <w:rFonts w:hint="eastAsia" w:ascii="黑体" w:hAnsi="宋体"/>
          <w:color w:val="auto"/>
          <w:kern w:val="0"/>
          <w:szCs w:val="21"/>
          <w:highlight w:val="none"/>
        </w:rPr>
        <w:t>称取约</w:t>
      </w:r>
      <w:r>
        <w:rPr>
          <w:color w:val="auto"/>
          <w:kern w:val="0"/>
          <w:szCs w:val="21"/>
          <w:highlight w:val="none"/>
        </w:rPr>
        <w:t>10.0 g试样（精确至0.000</w:t>
      </w:r>
      <w:r>
        <w:rPr>
          <w:rFonts w:hint="eastAsia"/>
          <w:color w:val="auto"/>
          <w:kern w:val="0"/>
          <w:szCs w:val="21"/>
          <w:highlight w:val="none"/>
        </w:rPr>
        <w:t xml:space="preserve"> </w:t>
      </w:r>
      <w:r>
        <w:rPr>
          <w:color w:val="auto"/>
          <w:kern w:val="0"/>
          <w:szCs w:val="21"/>
          <w:highlight w:val="none"/>
        </w:rPr>
        <w:t>2 g），置于</w:t>
      </w:r>
      <w:r>
        <w:rPr>
          <w:rFonts w:hint="eastAsia"/>
          <w:color w:val="auto"/>
          <w:kern w:val="0"/>
          <w:szCs w:val="21"/>
          <w:highlight w:val="none"/>
        </w:rPr>
        <w:t>具塞锥形瓶</w:t>
      </w:r>
      <w:r>
        <w:rPr>
          <w:color w:val="auto"/>
          <w:kern w:val="0"/>
          <w:szCs w:val="21"/>
          <w:highlight w:val="none"/>
        </w:rPr>
        <w:t>中，加入100</w:t>
      </w:r>
      <w:r>
        <w:rPr>
          <w:rFonts w:hint="eastAsia"/>
          <w:color w:val="auto"/>
          <w:kern w:val="0"/>
          <w:szCs w:val="21"/>
          <w:highlight w:val="none"/>
          <w:lang w:val="en-US" w:eastAsia="zh-CN"/>
        </w:rPr>
        <w:t>.00</w:t>
      </w:r>
      <w:r>
        <w:rPr>
          <w:color w:val="auto"/>
          <w:kern w:val="0"/>
          <w:szCs w:val="21"/>
          <w:highlight w:val="none"/>
        </w:rPr>
        <w:t xml:space="preserve"> </w:t>
      </w:r>
      <w:r>
        <w:rPr>
          <w:rFonts w:hint="eastAsia"/>
          <w:color w:val="auto"/>
          <w:kern w:val="0"/>
          <w:szCs w:val="21"/>
          <w:highlight w:val="none"/>
        </w:rPr>
        <w:t>mL</w:t>
      </w:r>
      <w:r>
        <w:rPr>
          <w:color w:val="auto"/>
          <w:kern w:val="0"/>
          <w:szCs w:val="21"/>
          <w:highlight w:val="none"/>
        </w:rPr>
        <w:t xml:space="preserve"> </w:t>
      </w:r>
      <w:r>
        <w:rPr>
          <w:rFonts w:hint="eastAsia"/>
          <w:color w:val="auto"/>
          <w:kern w:val="0"/>
          <w:szCs w:val="21"/>
          <w:highlight w:val="none"/>
        </w:rPr>
        <w:t>水，盖上塞子</w:t>
      </w:r>
      <w:r>
        <w:rPr>
          <w:color w:val="auto"/>
          <w:kern w:val="0"/>
          <w:szCs w:val="21"/>
          <w:highlight w:val="none"/>
        </w:rPr>
        <w:t>后置于磁力搅拌器上，搅拌</w:t>
      </w:r>
      <w:r>
        <w:rPr>
          <w:rFonts w:hint="eastAsia"/>
          <w:color w:val="auto"/>
          <w:kern w:val="0"/>
          <w:szCs w:val="21"/>
          <w:highlight w:val="none"/>
        </w:rPr>
        <w:t xml:space="preserve">30 </w:t>
      </w:r>
      <w:r>
        <w:rPr>
          <w:color w:val="auto"/>
          <w:kern w:val="0"/>
          <w:szCs w:val="21"/>
          <w:highlight w:val="none"/>
        </w:rPr>
        <w:t>min。搅拌完成后1</w:t>
      </w:r>
      <w:r>
        <w:rPr>
          <w:rFonts w:hint="eastAsia"/>
          <w:color w:val="auto"/>
          <w:kern w:val="0"/>
          <w:szCs w:val="21"/>
          <w:highlight w:val="none"/>
        </w:rPr>
        <w:t xml:space="preserve"> </w:t>
      </w:r>
      <w:r>
        <w:rPr>
          <w:color w:val="auto"/>
          <w:kern w:val="0"/>
          <w:szCs w:val="21"/>
          <w:highlight w:val="none"/>
        </w:rPr>
        <w:t>min内，用膜式过滤装置</w:t>
      </w:r>
      <w:r>
        <w:rPr>
          <w:rFonts w:hint="eastAsia"/>
          <w:color w:val="auto"/>
          <w:kern w:val="0"/>
          <w:szCs w:val="21"/>
          <w:highlight w:val="none"/>
        </w:rPr>
        <w:t>过滤</w:t>
      </w:r>
      <w:r>
        <w:rPr>
          <w:color w:val="auto"/>
          <w:kern w:val="0"/>
          <w:szCs w:val="21"/>
          <w:highlight w:val="none"/>
        </w:rPr>
        <w:t>，滤液收集至</w:t>
      </w:r>
      <w:r>
        <w:rPr>
          <w:rFonts w:hint="eastAsia"/>
          <w:color w:val="auto"/>
          <w:kern w:val="0"/>
          <w:szCs w:val="21"/>
          <w:highlight w:val="none"/>
        </w:rPr>
        <w:t>具塞锥形瓶</w:t>
      </w:r>
      <w:r>
        <w:rPr>
          <w:color w:val="auto"/>
          <w:kern w:val="0"/>
          <w:szCs w:val="21"/>
          <w:highlight w:val="none"/>
        </w:rPr>
        <w:t>中，</w:t>
      </w:r>
      <w:r>
        <w:rPr>
          <w:rFonts w:hint="eastAsia"/>
          <w:color w:val="auto"/>
          <w:kern w:val="0"/>
          <w:szCs w:val="21"/>
          <w:highlight w:val="none"/>
        </w:rPr>
        <w:t>此为试验溶液A，用于碳酸钠的测定。</w:t>
      </w:r>
    </w:p>
    <w:p>
      <w:pPr>
        <w:pStyle w:val="18"/>
        <w:spacing w:line="400" w:lineRule="exact"/>
        <w:ind w:firstLine="420" w:firstLineChars="200"/>
        <w:rPr>
          <w:color w:val="auto"/>
          <w:kern w:val="0"/>
          <w:szCs w:val="21"/>
          <w:highlight w:val="none"/>
        </w:rPr>
      </w:pPr>
      <w:r>
        <w:rPr>
          <w:rFonts w:hint="eastAsia" w:ascii="黑体" w:hAnsi="宋体"/>
          <w:color w:val="auto"/>
          <w:kern w:val="0"/>
          <w:szCs w:val="21"/>
          <w:highlight w:val="none"/>
        </w:rPr>
        <w:t>称取约</w:t>
      </w:r>
      <w:r>
        <w:rPr>
          <w:color w:val="auto"/>
          <w:kern w:val="0"/>
          <w:szCs w:val="21"/>
          <w:highlight w:val="none"/>
        </w:rPr>
        <w:t>10.0 g试样（精确至0.000</w:t>
      </w:r>
      <w:r>
        <w:rPr>
          <w:rFonts w:hint="eastAsia"/>
          <w:color w:val="auto"/>
          <w:kern w:val="0"/>
          <w:szCs w:val="21"/>
          <w:highlight w:val="none"/>
        </w:rPr>
        <w:t xml:space="preserve"> </w:t>
      </w:r>
      <w:r>
        <w:rPr>
          <w:color w:val="auto"/>
          <w:kern w:val="0"/>
          <w:szCs w:val="21"/>
          <w:highlight w:val="none"/>
        </w:rPr>
        <w:t>2 g），置于</w:t>
      </w:r>
      <w:r>
        <w:rPr>
          <w:rFonts w:hint="eastAsia"/>
          <w:color w:val="auto"/>
          <w:kern w:val="0"/>
          <w:szCs w:val="21"/>
          <w:highlight w:val="none"/>
        </w:rPr>
        <w:t>具塞锥形瓶</w:t>
      </w:r>
      <w:r>
        <w:rPr>
          <w:color w:val="auto"/>
          <w:kern w:val="0"/>
          <w:szCs w:val="21"/>
          <w:highlight w:val="none"/>
        </w:rPr>
        <w:t>中，加入100</w:t>
      </w:r>
      <w:r>
        <w:rPr>
          <w:rFonts w:hint="eastAsia"/>
          <w:color w:val="auto"/>
          <w:kern w:val="0"/>
          <w:szCs w:val="21"/>
          <w:highlight w:val="none"/>
          <w:lang w:val="en-US" w:eastAsia="zh-CN"/>
        </w:rPr>
        <w:t>.00</w:t>
      </w:r>
      <w:r>
        <w:rPr>
          <w:color w:val="auto"/>
          <w:kern w:val="0"/>
          <w:szCs w:val="21"/>
          <w:highlight w:val="none"/>
        </w:rPr>
        <w:t xml:space="preserve"> </w:t>
      </w:r>
      <w:r>
        <w:rPr>
          <w:rFonts w:hint="eastAsia"/>
          <w:color w:val="auto"/>
          <w:kern w:val="0"/>
          <w:szCs w:val="21"/>
          <w:highlight w:val="none"/>
        </w:rPr>
        <w:t>mL</w:t>
      </w:r>
      <w:r>
        <w:rPr>
          <w:color w:val="auto"/>
          <w:kern w:val="0"/>
          <w:szCs w:val="21"/>
          <w:highlight w:val="none"/>
        </w:rPr>
        <w:t xml:space="preserve"> 无水乙醇</w:t>
      </w:r>
      <w:r>
        <w:rPr>
          <w:rFonts w:hint="eastAsia"/>
          <w:color w:val="auto"/>
          <w:kern w:val="0"/>
          <w:szCs w:val="21"/>
          <w:highlight w:val="none"/>
        </w:rPr>
        <w:t>，盖上塞子</w:t>
      </w:r>
      <w:r>
        <w:rPr>
          <w:color w:val="auto"/>
          <w:kern w:val="0"/>
          <w:szCs w:val="21"/>
          <w:highlight w:val="none"/>
        </w:rPr>
        <w:t>后置于磁力搅拌器上，搅拌</w:t>
      </w:r>
      <w:r>
        <w:rPr>
          <w:rFonts w:hint="eastAsia"/>
          <w:color w:val="auto"/>
          <w:kern w:val="0"/>
          <w:szCs w:val="21"/>
          <w:highlight w:val="none"/>
        </w:rPr>
        <w:t xml:space="preserve">30 </w:t>
      </w:r>
      <w:r>
        <w:rPr>
          <w:color w:val="auto"/>
          <w:kern w:val="0"/>
          <w:szCs w:val="21"/>
          <w:highlight w:val="none"/>
        </w:rPr>
        <w:t>min。搅拌完成后1</w:t>
      </w:r>
      <w:r>
        <w:rPr>
          <w:rFonts w:hint="eastAsia"/>
          <w:color w:val="auto"/>
          <w:kern w:val="0"/>
          <w:szCs w:val="21"/>
          <w:highlight w:val="none"/>
        </w:rPr>
        <w:t xml:space="preserve"> </w:t>
      </w:r>
      <w:r>
        <w:rPr>
          <w:color w:val="auto"/>
          <w:kern w:val="0"/>
          <w:szCs w:val="21"/>
          <w:highlight w:val="none"/>
        </w:rPr>
        <w:t>min内，用膜式过滤装置</w:t>
      </w:r>
      <w:r>
        <w:rPr>
          <w:rFonts w:hint="eastAsia"/>
          <w:color w:val="auto"/>
          <w:kern w:val="0"/>
          <w:szCs w:val="21"/>
          <w:highlight w:val="none"/>
        </w:rPr>
        <w:t>过滤</w:t>
      </w:r>
      <w:r>
        <w:rPr>
          <w:color w:val="auto"/>
          <w:kern w:val="0"/>
          <w:szCs w:val="21"/>
          <w:highlight w:val="none"/>
        </w:rPr>
        <w:t>，滤液收集至</w:t>
      </w:r>
      <w:r>
        <w:rPr>
          <w:rFonts w:hint="eastAsia"/>
          <w:color w:val="auto"/>
          <w:kern w:val="0"/>
          <w:szCs w:val="21"/>
          <w:highlight w:val="none"/>
        </w:rPr>
        <w:t>具塞锥形瓶</w:t>
      </w:r>
      <w:r>
        <w:rPr>
          <w:color w:val="auto"/>
          <w:kern w:val="0"/>
          <w:szCs w:val="21"/>
          <w:highlight w:val="none"/>
        </w:rPr>
        <w:t>中，</w:t>
      </w:r>
      <w:r>
        <w:rPr>
          <w:rFonts w:hint="eastAsia"/>
          <w:color w:val="auto"/>
          <w:kern w:val="0"/>
          <w:szCs w:val="21"/>
          <w:highlight w:val="none"/>
        </w:rPr>
        <w:t>此为试验溶液B，用于氢氧化钠的测定</w:t>
      </w:r>
      <w:r>
        <w:rPr>
          <w:color w:val="auto"/>
          <w:kern w:val="0"/>
          <w:szCs w:val="21"/>
          <w:highlight w:val="none"/>
        </w:rPr>
        <w:t>。</w:t>
      </w:r>
    </w:p>
    <w:bookmarkEnd w:id="43"/>
    <w:p>
      <w:pPr>
        <w:widowControl/>
        <w:numPr>
          <w:ilvl w:val="4"/>
          <w:numId w:val="2"/>
        </w:numPr>
        <w:adjustRightInd/>
        <w:spacing w:line="360" w:lineRule="exact"/>
        <w:outlineLvl w:val="3"/>
        <w:rPr>
          <w:rFonts w:hint="eastAsia" w:ascii="黑体" w:hAnsi="黑体" w:eastAsia="黑体" w:cs="黑体"/>
          <w:color w:val="auto"/>
          <w:kern w:val="0"/>
          <w:szCs w:val="20"/>
          <w:highlight w:val="none"/>
        </w:rPr>
      </w:pPr>
      <w:r>
        <w:rPr>
          <w:rFonts w:hint="eastAsia" w:ascii="黑体" w:hAnsi="黑体" w:eastAsia="黑体" w:cs="黑体"/>
          <w:color w:val="auto"/>
          <w:kern w:val="0"/>
          <w:szCs w:val="20"/>
          <w:highlight w:val="none"/>
        </w:rPr>
        <w:t>残余碳酸钠的试验</w:t>
      </w:r>
    </w:p>
    <w:p>
      <w:pPr>
        <w:pStyle w:val="18"/>
        <w:spacing w:line="400" w:lineRule="exact"/>
        <w:ind w:firstLine="420" w:firstLineChars="200"/>
        <w:rPr>
          <w:color w:val="auto"/>
          <w:highlight w:val="none"/>
        </w:rPr>
      </w:pPr>
      <w:r>
        <w:rPr>
          <w:rFonts w:hint="eastAsia"/>
          <w:color w:val="auto"/>
          <w:highlight w:val="none"/>
        </w:rPr>
        <w:t>移取20.00mL试验溶液A，置于锥形瓶中，加入8滴甲酚红-亚甲基蓝混合指示液，用盐酸标准滴定溶液（见6.</w:t>
      </w:r>
      <w:r>
        <w:rPr>
          <w:rFonts w:hint="eastAsia"/>
          <w:color w:val="auto"/>
          <w:highlight w:val="none"/>
          <w:lang w:val="en-US" w:eastAsia="zh-CN"/>
        </w:rPr>
        <w:t>5</w:t>
      </w:r>
      <w:r>
        <w:rPr>
          <w:rFonts w:hint="eastAsia"/>
          <w:color w:val="auto"/>
          <w:highlight w:val="none"/>
        </w:rPr>
        <w:t>.2.3）滴定至蓝色变为亮绿色，记录消耗盐酸标准滴定溶液体积</w:t>
      </w:r>
      <w:r>
        <w:rPr>
          <w:rFonts w:hint="eastAsia"/>
          <w:color w:val="auto"/>
          <w:highlight w:val="none"/>
          <w:lang w:eastAsia="zh-CN"/>
        </w:rPr>
        <w:t>（</w:t>
      </w:r>
      <w:r>
        <w:rPr>
          <w:rFonts w:hint="eastAsia"/>
          <w:i/>
          <w:iCs/>
          <w:color w:val="auto"/>
          <w:highlight w:val="none"/>
        </w:rPr>
        <w:t>V</w:t>
      </w:r>
      <w:r>
        <w:rPr>
          <w:rFonts w:hint="eastAsia"/>
          <w:color w:val="auto"/>
          <w:highlight w:val="none"/>
          <w:vertAlign w:val="subscript"/>
        </w:rPr>
        <w:t>1</w:t>
      </w:r>
      <w:r>
        <w:rPr>
          <w:rFonts w:hint="eastAsia"/>
          <w:color w:val="auto"/>
          <w:highlight w:val="none"/>
          <w:lang w:eastAsia="zh-CN"/>
        </w:rPr>
        <w:t>）</w:t>
      </w:r>
      <w:r>
        <w:rPr>
          <w:rFonts w:hint="eastAsia"/>
          <w:color w:val="auto"/>
          <w:highlight w:val="none"/>
        </w:rPr>
        <w:t>。再加入8滴甲基红-亚甲基蓝混合指示液，</w:t>
      </w:r>
      <w:r>
        <w:rPr>
          <w:rFonts w:hint="eastAsia"/>
          <w:color w:val="auto"/>
          <w:highlight w:val="none"/>
          <w:lang w:val="en-US" w:eastAsia="zh-CN"/>
        </w:rPr>
        <w:t>继续</w:t>
      </w:r>
      <w:r>
        <w:rPr>
          <w:rFonts w:hint="eastAsia"/>
          <w:color w:val="auto"/>
          <w:highlight w:val="none"/>
        </w:rPr>
        <w:t>用盐酸标准滴定溶液（见6.</w:t>
      </w:r>
      <w:r>
        <w:rPr>
          <w:rFonts w:hint="eastAsia"/>
          <w:color w:val="auto"/>
          <w:highlight w:val="none"/>
          <w:lang w:val="en-US" w:eastAsia="zh-CN"/>
        </w:rPr>
        <w:t>5</w:t>
      </w:r>
      <w:r>
        <w:rPr>
          <w:rFonts w:hint="eastAsia"/>
          <w:color w:val="auto"/>
          <w:highlight w:val="none"/>
        </w:rPr>
        <w:t>.2.3）滴定至亮绿色变为暗紫红色，记录消耗盐酸标准滴定溶液体积</w:t>
      </w:r>
      <w:r>
        <w:rPr>
          <w:rFonts w:hint="eastAsia"/>
          <w:color w:val="auto"/>
          <w:highlight w:val="none"/>
          <w:lang w:eastAsia="zh-CN"/>
        </w:rPr>
        <w:t>（</w:t>
      </w:r>
      <w:r>
        <w:rPr>
          <w:i/>
          <w:iCs/>
          <w:color w:val="auto"/>
          <w:kern w:val="0"/>
          <w:szCs w:val="21"/>
          <w:highlight w:val="none"/>
        </w:rPr>
        <w:t>V</w:t>
      </w:r>
      <w:r>
        <w:rPr>
          <w:rFonts w:hint="eastAsia"/>
          <w:color w:val="auto"/>
          <w:kern w:val="0"/>
          <w:szCs w:val="21"/>
          <w:highlight w:val="none"/>
          <w:vertAlign w:val="subscript"/>
        </w:rPr>
        <w:t>2</w:t>
      </w:r>
      <w:r>
        <w:rPr>
          <w:rFonts w:hint="eastAsia"/>
          <w:color w:val="auto"/>
          <w:highlight w:val="none"/>
          <w:lang w:eastAsia="zh-CN"/>
        </w:rPr>
        <w:t>）</w:t>
      </w:r>
      <w:r>
        <w:rPr>
          <w:rFonts w:hint="eastAsia"/>
          <w:color w:val="auto"/>
          <w:kern w:val="0"/>
          <w:szCs w:val="21"/>
          <w:highlight w:val="none"/>
        </w:rPr>
        <w:t>。</w:t>
      </w:r>
    </w:p>
    <w:p>
      <w:pPr>
        <w:widowControl/>
        <w:numPr>
          <w:ilvl w:val="4"/>
          <w:numId w:val="2"/>
        </w:numPr>
        <w:adjustRightInd/>
        <w:spacing w:line="360" w:lineRule="exact"/>
        <w:outlineLvl w:val="3"/>
        <w:rPr>
          <w:rFonts w:hint="eastAsia" w:ascii="黑体" w:hAnsi="黑体" w:eastAsia="黑体" w:cs="黑体"/>
          <w:color w:val="auto"/>
          <w:kern w:val="0"/>
          <w:szCs w:val="20"/>
          <w:highlight w:val="none"/>
        </w:rPr>
      </w:pPr>
      <w:r>
        <w:rPr>
          <w:rFonts w:hint="eastAsia" w:ascii="黑体" w:hAnsi="黑体" w:eastAsia="黑体" w:cs="黑体"/>
          <w:color w:val="auto"/>
          <w:kern w:val="0"/>
          <w:szCs w:val="20"/>
          <w:highlight w:val="none"/>
        </w:rPr>
        <w:t>残余氢氧化钠的试验</w:t>
      </w:r>
    </w:p>
    <w:p>
      <w:pPr>
        <w:pStyle w:val="18"/>
        <w:spacing w:line="400" w:lineRule="exact"/>
        <w:ind w:firstLine="420" w:firstLineChars="200"/>
        <w:rPr>
          <w:color w:val="auto"/>
          <w:highlight w:val="none"/>
        </w:rPr>
      </w:pPr>
      <w:bookmarkStart w:id="44" w:name="_Hlk196346180"/>
      <w:r>
        <w:rPr>
          <w:rFonts w:hint="eastAsia"/>
          <w:color w:val="auto"/>
          <w:highlight w:val="none"/>
        </w:rPr>
        <w:t>移取20.00mL试验溶液B，置于锥形瓶中，加入8滴</w:t>
      </w:r>
      <w:bookmarkEnd w:id="44"/>
      <w:r>
        <w:rPr>
          <w:rFonts w:hint="eastAsia"/>
          <w:color w:val="auto"/>
          <w:highlight w:val="none"/>
        </w:rPr>
        <w:t>甲酚红-亚甲基蓝混合指示液，</w:t>
      </w:r>
      <w:bookmarkStart w:id="45" w:name="_Hlk196346195"/>
      <w:r>
        <w:rPr>
          <w:rFonts w:hint="eastAsia"/>
          <w:color w:val="auto"/>
          <w:highlight w:val="none"/>
        </w:rPr>
        <w:t>用盐酸标准滴定溶液（见6.</w:t>
      </w:r>
      <w:r>
        <w:rPr>
          <w:rFonts w:hint="eastAsia"/>
          <w:color w:val="auto"/>
          <w:highlight w:val="none"/>
          <w:lang w:val="en-US" w:eastAsia="zh-CN"/>
        </w:rPr>
        <w:t>5</w:t>
      </w:r>
      <w:r>
        <w:rPr>
          <w:rFonts w:hint="eastAsia"/>
          <w:color w:val="auto"/>
          <w:highlight w:val="none"/>
        </w:rPr>
        <w:t>.2.2）滴定至蓝色变为亮绿色为终点，记录消耗盐酸标准滴定溶液体积</w:t>
      </w:r>
      <w:r>
        <w:rPr>
          <w:rFonts w:hint="eastAsia"/>
          <w:color w:val="auto"/>
          <w:highlight w:val="none"/>
          <w:lang w:eastAsia="zh-CN"/>
        </w:rPr>
        <w:t>（</w:t>
      </w:r>
      <w:r>
        <w:rPr>
          <w:i/>
          <w:iCs/>
          <w:color w:val="auto"/>
          <w:kern w:val="0"/>
          <w:szCs w:val="21"/>
          <w:highlight w:val="none"/>
        </w:rPr>
        <w:t>V</w:t>
      </w:r>
      <w:r>
        <w:rPr>
          <w:rFonts w:hint="eastAsia"/>
          <w:color w:val="auto"/>
          <w:kern w:val="0"/>
          <w:szCs w:val="21"/>
          <w:highlight w:val="none"/>
          <w:vertAlign w:val="subscript"/>
        </w:rPr>
        <w:t>3</w:t>
      </w:r>
      <w:r>
        <w:rPr>
          <w:rFonts w:hint="eastAsia"/>
          <w:color w:val="auto"/>
          <w:highlight w:val="none"/>
          <w:lang w:eastAsia="zh-CN"/>
        </w:rPr>
        <w:t>）</w:t>
      </w:r>
      <w:r>
        <w:rPr>
          <w:rFonts w:hint="eastAsia"/>
          <w:color w:val="auto"/>
          <w:kern w:val="0"/>
          <w:szCs w:val="21"/>
          <w:highlight w:val="none"/>
        </w:rPr>
        <w:t>。</w:t>
      </w:r>
      <w:bookmarkEnd w:id="45"/>
    </w:p>
    <w:p>
      <w:pPr>
        <w:pStyle w:val="18"/>
        <w:spacing w:line="400" w:lineRule="exact"/>
        <w:ind w:firstLine="420" w:firstLineChars="200"/>
        <w:rPr>
          <w:color w:val="auto"/>
          <w:highlight w:val="none"/>
        </w:rPr>
      </w:pPr>
      <w:r>
        <w:rPr>
          <w:rFonts w:hint="eastAsia"/>
          <w:color w:val="auto"/>
          <w:highlight w:val="none"/>
        </w:rPr>
        <w:t>移取20.00mL试验溶液B，置于锥形瓶中，加入8滴甲基红-亚甲基蓝混合指示液，用盐酸标准滴定溶液（见6.</w:t>
      </w:r>
      <w:r>
        <w:rPr>
          <w:rFonts w:hint="eastAsia"/>
          <w:color w:val="auto"/>
          <w:highlight w:val="none"/>
          <w:lang w:val="en-US" w:eastAsia="zh-CN"/>
        </w:rPr>
        <w:t>5</w:t>
      </w:r>
      <w:r>
        <w:rPr>
          <w:rFonts w:hint="eastAsia"/>
          <w:color w:val="auto"/>
          <w:highlight w:val="none"/>
        </w:rPr>
        <w:t>.2.2）滴定至亮绿色变为暗紫红色为终点，记录消耗盐酸标准滴定溶液体积</w:t>
      </w:r>
      <w:r>
        <w:rPr>
          <w:rFonts w:hint="eastAsia"/>
          <w:color w:val="auto"/>
          <w:highlight w:val="none"/>
          <w:lang w:eastAsia="zh-CN"/>
        </w:rPr>
        <w:t>（</w:t>
      </w:r>
      <w:r>
        <w:rPr>
          <w:i/>
          <w:iCs/>
          <w:color w:val="auto"/>
          <w:kern w:val="0"/>
          <w:szCs w:val="21"/>
          <w:highlight w:val="none"/>
        </w:rPr>
        <w:t>V</w:t>
      </w:r>
      <w:r>
        <w:rPr>
          <w:rFonts w:hint="eastAsia"/>
          <w:color w:val="auto"/>
          <w:kern w:val="0"/>
          <w:szCs w:val="21"/>
          <w:highlight w:val="none"/>
          <w:vertAlign w:val="subscript"/>
        </w:rPr>
        <w:t>4</w:t>
      </w:r>
      <w:r>
        <w:rPr>
          <w:rFonts w:hint="eastAsia"/>
          <w:color w:val="auto"/>
          <w:highlight w:val="none"/>
          <w:lang w:eastAsia="zh-CN"/>
        </w:rPr>
        <w:t>）</w:t>
      </w:r>
      <w:r>
        <w:rPr>
          <w:rFonts w:hint="eastAsia"/>
          <w:color w:val="auto"/>
          <w:kern w:val="0"/>
          <w:szCs w:val="21"/>
          <w:highlight w:val="none"/>
        </w:rPr>
        <w:t>。</w:t>
      </w:r>
      <w:r>
        <w:rPr>
          <w:rFonts w:hint="eastAsia"/>
          <w:color w:val="auto"/>
          <w:highlight w:val="none"/>
        </w:rPr>
        <w:t xml:space="preserve"> </w:t>
      </w:r>
    </w:p>
    <w:p>
      <w:pPr>
        <w:pStyle w:val="71"/>
        <w:spacing w:before="120" w:after="120" w:line="360" w:lineRule="exact"/>
        <w:ind w:left="0"/>
        <w:rPr>
          <w:rFonts w:hint="eastAsia"/>
          <w:color w:val="auto"/>
          <w:highlight w:val="none"/>
        </w:rPr>
      </w:pPr>
      <w:r>
        <w:rPr>
          <w:rFonts w:hint="eastAsia"/>
          <w:color w:val="auto"/>
          <w:highlight w:val="none"/>
        </w:rPr>
        <w:t>试验数据处理</w:t>
      </w:r>
    </w:p>
    <w:p>
      <w:pPr>
        <w:widowControl/>
        <w:numPr>
          <w:ilvl w:val="4"/>
          <w:numId w:val="2"/>
        </w:numPr>
        <w:adjustRightInd/>
        <w:spacing w:line="360" w:lineRule="exact"/>
        <w:outlineLvl w:val="3"/>
        <w:rPr>
          <w:rFonts w:hint="eastAsia" w:ascii="黑体" w:hAnsi="黑体" w:eastAsia="黑体" w:cs="黑体"/>
          <w:color w:val="auto"/>
          <w:kern w:val="0"/>
          <w:szCs w:val="20"/>
          <w:highlight w:val="none"/>
        </w:rPr>
      </w:pPr>
      <w:r>
        <w:rPr>
          <w:rFonts w:hint="eastAsia" w:ascii="黑体" w:hAnsi="黑体" w:eastAsia="黑体" w:cs="黑体"/>
          <w:color w:val="auto"/>
          <w:kern w:val="0"/>
          <w:szCs w:val="20"/>
          <w:highlight w:val="none"/>
        </w:rPr>
        <w:t>残余碳酸钠含量的计算</w:t>
      </w:r>
    </w:p>
    <w:p>
      <w:pPr>
        <w:pStyle w:val="62"/>
        <w:spacing w:after="156" w:afterLines="50" w:line="440" w:lineRule="exact"/>
        <w:ind w:firstLine="420"/>
        <w:rPr>
          <w:rFonts w:ascii="Times New Roman"/>
          <w:color w:val="auto"/>
          <w:highlight w:val="none"/>
        </w:rPr>
      </w:pPr>
      <w:r>
        <w:rPr>
          <w:rFonts w:ascii="Times New Roman"/>
          <w:color w:val="auto"/>
          <w:highlight w:val="none"/>
        </w:rPr>
        <w:t>残余碳酸钠含量以</w:t>
      </w:r>
      <w:r>
        <w:rPr>
          <w:rFonts w:hint="eastAsia" w:ascii="Times New Roman"/>
          <w:color w:val="auto"/>
          <w:highlight w:val="none"/>
        </w:rPr>
        <w:t>碳酸钠</w:t>
      </w:r>
      <w:r>
        <w:rPr>
          <w:rFonts w:ascii="Times New Roman"/>
          <w:color w:val="auto"/>
          <w:highlight w:val="none"/>
        </w:rPr>
        <w:t>（Na</w:t>
      </w:r>
      <w:r>
        <w:rPr>
          <w:rFonts w:ascii="Times New Roman"/>
          <w:color w:val="auto"/>
          <w:highlight w:val="none"/>
          <w:vertAlign w:val="subscript"/>
        </w:rPr>
        <w:t>2</w:t>
      </w:r>
      <w:r>
        <w:rPr>
          <w:rFonts w:ascii="Times New Roman"/>
          <w:color w:val="auto"/>
          <w:highlight w:val="none"/>
        </w:rPr>
        <w:t>CO</w:t>
      </w:r>
      <w:r>
        <w:rPr>
          <w:rFonts w:ascii="Times New Roman"/>
          <w:color w:val="auto"/>
          <w:highlight w:val="none"/>
          <w:vertAlign w:val="subscript"/>
        </w:rPr>
        <w:t>3</w:t>
      </w:r>
      <w:r>
        <w:rPr>
          <w:rFonts w:ascii="Times New Roman"/>
          <w:color w:val="auto"/>
          <w:highlight w:val="none"/>
        </w:rPr>
        <w:t>）</w:t>
      </w:r>
      <w:r>
        <w:rPr>
          <w:rFonts w:hint="eastAsia" w:ascii="Times New Roman"/>
          <w:color w:val="auto"/>
          <w:highlight w:val="none"/>
        </w:rPr>
        <w:t>的</w:t>
      </w:r>
      <w:r>
        <w:rPr>
          <w:rFonts w:ascii="Times New Roman"/>
          <w:color w:val="auto"/>
          <w:highlight w:val="none"/>
        </w:rPr>
        <w:t>质量分数</w:t>
      </w:r>
      <m:oMath>
        <m:sSub>
          <m:sSubPr>
            <m:ctrlPr>
              <w:rPr>
                <w:rFonts w:ascii="Cambria Math" w:hAnsi="Cambria Math"/>
                <w:i/>
                <w:color w:val="auto"/>
                <w:highlight w:val="none"/>
              </w:rPr>
            </m:ctrlPr>
          </m:sSubPr>
          <m:e>
            <m:r>
              <m:rPr/>
              <w:rPr>
                <w:rFonts w:ascii="Cambria Math" w:hAnsi="Cambria Math"/>
                <w:color w:val="auto"/>
                <w:highlight w:val="none"/>
              </w:rPr>
              <m:t>ω</m:t>
            </m:r>
            <m:ctrlPr>
              <w:rPr>
                <w:rFonts w:ascii="Cambria Math" w:hAnsi="Cambria Math"/>
                <w:i/>
                <w:color w:val="auto"/>
                <w:highlight w:val="none"/>
              </w:rPr>
            </m:ctrlPr>
          </m:e>
          <m:sub>
            <m:sSub>
              <m:sSubPr>
                <m:ctrlPr>
                  <w:rPr>
                    <w:rFonts w:ascii="Cambria Math" w:hAnsi="Cambria Math"/>
                    <w:iCs/>
                    <w:color w:val="auto"/>
                    <w:highlight w:val="none"/>
                  </w:rPr>
                </m:ctrlPr>
              </m:sSubPr>
              <m:e>
                <m:r>
                  <m:rPr>
                    <m:sty m:val="p"/>
                  </m:rPr>
                  <w:rPr>
                    <w:rFonts w:ascii="Cambria Math" w:hAnsi="Cambria Math"/>
                    <w:color w:val="auto"/>
                    <w:highlight w:val="none"/>
                  </w:rPr>
                  <m:t>Na</m:t>
                </m:r>
                <m:ctrlPr>
                  <w:rPr>
                    <w:rFonts w:ascii="Cambria Math" w:hAnsi="Cambria Math"/>
                    <w:iCs/>
                    <w:color w:val="auto"/>
                    <w:highlight w:val="none"/>
                  </w:rPr>
                </m:ctrlPr>
              </m:e>
              <m:sub>
                <m:r>
                  <m:rPr>
                    <m:sty m:val="p"/>
                  </m:rPr>
                  <w:rPr>
                    <w:rFonts w:ascii="Cambria Math" w:hAnsi="Cambria Math"/>
                    <w:color w:val="auto"/>
                    <w:highlight w:val="none"/>
                  </w:rPr>
                  <m:t>2</m:t>
                </m:r>
                <m:ctrlPr>
                  <w:rPr>
                    <w:rFonts w:ascii="Cambria Math" w:hAnsi="Cambria Math"/>
                    <w:iCs/>
                    <w:color w:val="auto"/>
                    <w:highlight w:val="none"/>
                  </w:rPr>
                </m:ctrlPr>
              </m:sub>
            </m:sSub>
            <m:r>
              <m:rPr>
                <m:sty m:val="p"/>
              </m:rPr>
              <w:rPr>
                <w:rFonts w:ascii="Cambria Math" w:hAnsi="Cambria Math"/>
                <w:color w:val="auto"/>
                <w:highlight w:val="none"/>
              </w:rPr>
              <m:t>C</m:t>
            </m:r>
            <m:sSub>
              <m:sSubPr>
                <m:ctrlPr>
                  <w:rPr>
                    <w:rFonts w:ascii="Cambria Math" w:hAnsi="Cambria Math"/>
                    <w:iCs/>
                    <w:color w:val="auto"/>
                    <w:highlight w:val="none"/>
                  </w:rPr>
                </m:ctrlPr>
              </m:sSubPr>
              <m:e>
                <m:r>
                  <m:rPr>
                    <m:sty m:val="p"/>
                  </m:rPr>
                  <w:rPr>
                    <w:rFonts w:ascii="Cambria Math" w:hAnsi="Cambria Math"/>
                    <w:color w:val="auto"/>
                    <w:highlight w:val="none"/>
                  </w:rPr>
                  <m:t>O</m:t>
                </m:r>
                <m:ctrlPr>
                  <w:rPr>
                    <w:rFonts w:ascii="Cambria Math" w:hAnsi="Cambria Math"/>
                    <w:iCs/>
                    <w:color w:val="auto"/>
                    <w:highlight w:val="none"/>
                  </w:rPr>
                </m:ctrlPr>
              </m:e>
              <m:sub>
                <m:r>
                  <m:rPr>
                    <m:sty m:val="p"/>
                  </m:rPr>
                  <w:rPr>
                    <w:rFonts w:ascii="Cambria Math" w:hAnsi="Cambria Math"/>
                    <w:color w:val="auto"/>
                    <w:highlight w:val="none"/>
                  </w:rPr>
                  <m:t>3</m:t>
                </m:r>
                <m:ctrlPr>
                  <w:rPr>
                    <w:rFonts w:ascii="Cambria Math" w:hAnsi="Cambria Math"/>
                    <w:iCs/>
                    <w:color w:val="auto"/>
                    <w:highlight w:val="none"/>
                  </w:rPr>
                </m:ctrlPr>
              </m:sub>
            </m:sSub>
            <m:ctrlPr>
              <w:rPr>
                <w:rFonts w:ascii="Cambria Math" w:hAnsi="Cambria Math"/>
                <w:i/>
                <w:color w:val="auto"/>
                <w:highlight w:val="none"/>
              </w:rPr>
            </m:ctrlPr>
          </m:sub>
        </m:sSub>
      </m:oMath>
      <w:r>
        <w:rPr>
          <w:rFonts w:ascii="Times New Roman"/>
          <w:color w:val="auto"/>
          <w:highlight w:val="none"/>
        </w:rPr>
        <w:t>计，按公式（</w:t>
      </w:r>
      <w:r>
        <w:rPr>
          <w:rFonts w:hint="eastAsia" w:ascii="Times New Roman"/>
          <w:color w:val="auto"/>
          <w:highlight w:val="none"/>
          <w:lang w:val="en-US" w:eastAsia="zh-CN"/>
        </w:rPr>
        <w:t>6</w:t>
      </w:r>
      <w:r>
        <w:rPr>
          <w:rFonts w:ascii="Times New Roman"/>
          <w:color w:val="auto"/>
          <w:highlight w:val="none"/>
        </w:rPr>
        <w:t>）计算：</w:t>
      </w:r>
    </w:p>
    <w:p>
      <w:pPr>
        <w:pStyle w:val="62"/>
        <w:spacing w:after="156" w:afterLines="50" w:line="240" w:lineRule="auto"/>
        <w:ind w:firstLine="420"/>
        <w:jc w:val="right"/>
        <w:rPr>
          <w:rFonts w:ascii="Times New Roman"/>
          <w:color w:val="auto"/>
          <w:szCs w:val="21"/>
          <w:highlight w:val="none"/>
        </w:rPr>
      </w:pPr>
      <w:r>
        <w:rPr>
          <w:rFonts w:ascii="Times New Roman"/>
          <w:color w:val="auto"/>
          <w:position w:val="-30"/>
          <w:szCs w:val="21"/>
          <w:highlight w:val="none"/>
        </w:rPr>
        <w:object>
          <v:shape id="_x0000_i1030" o:spt="75" type="#_x0000_t75" style="height:39.75pt;width:174.4pt;" o:ole="t" filled="f" o:preferrelative="t" stroked="f" coordsize="21600,21600">
            <v:path/>
            <v:fill on="f" focussize="0,0"/>
            <v:stroke on="f"/>
            <v:imagedata r:id="rId23" o:title=""/>
            <o:lock v:ext="edit" aspectratio="t"/>
            <w10:wrap type="none"/>
            <w10:anchorlock/>
          </v:shape>
          <o:OLEObject Type="Embed" ProgID="Equation.3" ShapeID="_x0000_i1030" DrawAspect="Content" ObjectID="_1468075730" r:id="rId22">
            <o:LockedField>false</o:LockedField>
          </o:OLEObject>
        </w:object>
      </w: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QUOTE </w:instrText>
      </w:r>
      <m:oMath>
        <m:sSub>
          <m:sSubPr>
            <m:ctrlPr>
              <w:rPr>
                <w:rFonts w:hint="eastAsia" w:ascii="Cambria Math" w:hAnsi="Cambria Math" w:cs="宋体"/>
                <w:color w:val="auto"/>
                <w:sz w:val="21"/>
                <w:szCs w:val="21"/>
                <w:highlight w:val="none"/>
              </w:rPr>
            </m:ctrlPr>
          </m:sSubPr>
          <m:e>
            <m:r>
              <m:rPr>
                <m:sty m:val="p"/>
              </m:rPr>
              <w:rPr>
                <w:rFonts w:hint="eastAsia" w:ascii="Cambria Math" w:hAnsi="Cambria Math" w:cs="宋体"/>
                <w:color w:val="auto"/>
                <w:sz w:val="21"/>
                <w:szCs w:val="21"/>
                <w:highlight w:val="none"/>
              </w:rPr>
              <m:t xml:space="preserve">ω</m:t>
            </m:r>
            <m:ctrlPr>
              <w:rPr>
                <w:rFonts w:hint="eastAsia" w:ascii="Cambria Math" w:hAnsi="Cambria Math" w:cs="宋体"/>
                <w:color w:val="auto"/>
                <w:sz w:val="21"/>
                <w:szCs w:val="21"/>
                <w:highlight w:val="none"/>
              </w:rPr>
            </m:ctrlPr>
          </m:e>
          <m:sub>
            <m:sSub>
              <m:sSubPr>
                <m:ctrlPr>
                  <w:rPr>
                    <w:rFonts w:hint="eastAsia" w:ascii="Cambria Math" w:hAnsi="Cambria Math" w:cs="宋体"/>
                    <w:color w:val="auto"/>
                    <w:sz w:val="21"/>
                    <w:szCs w:val="21"/>
                    <w:highlight w:val="none"/>
                  </w:rPr>
                </m:ctrlPr>
              </m:sSubPr>
              <m:e>
                <m:r>
                  <m:rPr>
                    <m:sty m:val="p"/>
                  </m:rPr>
                  <w:rPr>
                    <w:rFonts w:hint="eastAsia" w:ascii="Cambria Math" w:hAnsi="Cambria Math" w:cs="宋体"/>
                    <w:color w:val="auto"/>
                    <w:sz w:val="21"/>
                    <w:szCs w:val="21"/>
                    <w:highlight w:val="none"/>
                  </w:rPr>
                  <m:t xml:space="preserve">Na</m:t>
                </m:r>
                <m:ctrlPr>
                  <w:rPr>
                    <w:rFonts w:hint="eastAsia" w:ascii="Cambria Math" w:hAnsi="Cambria Math" w:cs="宋体"/>
                    <w:color w:val="auto"/>
                    <w:sz w:val="21"/>
                    <w:szCs w:val="21"/>
                    <w:highlight w:val="none"/>
                  </w:rPr>
                </m:ctrlPr>
              </m:e>
              <m:sub>
                <m:r>
                  <m:rPr>
                    <m:sty m:val="p"/>
                  </m:rPr>
                  <w:rPr>
                    <w:rFonts w:hint="eastAsia" w:ascii="Cambria Math" w:hAnsi="Cambria Math" w:cs="宋体"/>
                    <w:color w:val="auto"/>
                    <w:sz w:val="21"/>
                    <w:szCs w:val="21"/>
                    <w:highlight w:val="none"/>
                  </w:rPr>
                  <m:t xml:space="preserve">2</m:t>
                </m:r>
                <m:ctrlPr>
                  <w:rPr>
                    <w:rFonts w:hint="eastAsia" w:ascii="Cambria Math" w:hAnsi="Cambria Math" w:cs="宋体"/>
                    <w:color w:val="auto"/>
                    <w:sz w:val="21"/>
                    <w:szCs w:val="21"/>
                    <w:highlight w:val="none"/>
                  </w:rPr>
                </m:ctrlPr>
              </m:sub>
            </m:sSub>
            <m:r>
              <m:rPr>
                <m:sty m:val="p"/>
              </m:rPr>
              <w:rPr>
                <w:rFonts w:hint="eastAsia" w:ascii="Cambria Math" w:hAnsi="Cambria Math" w:cs="宋体"/>
                <w:color w:val="auto"/>
                <w:sz w:val="21"/>
                <w:szCs w:val="21"/>
                <w:highlight w:val="none"/>
              </w:rPr>
              <m:t xml:space="preserve">C</m:t>
            </m:r>
            <m:sSub>
              <m:sSubPr>
                <m:ctrlPr>
                  <w:rPr>
                    <w:rFonts w:hint="eastAsia" w:ascii="Cambria Math" w:hAnsi="Cambria Math" w:cs="宋体"/>
                    <w:color w:val="auto"/>
                    <w:sz w:val="21"/>
                    <w:szCs w:val="21"/>
                    <w:highlight w:val="none"/>
                  </w:rPr>
                </m:ctrlPr>
              </m:sSubPr>
              <m:e>
                <m:r>
                  <m:rPr>
                    <m:sty m:val="p"/>
                  </m:rPr>
                  <w:rPr>
                    <w:rFonts w:hint="eastAsia" w:ascii="Cambria Math" w:hAnsi="Cambria Math" w:cs="宋体"/>
                    <w:color w:val="auto"/>
                    <w:sz w:val="21"/>
                    <w:szCs w:val="21"/>
                    <w:highlight w:val="none"/>
                  </w:rPr>
                  <m:t xml:space="preserve">O</m:t>
                </m:r>
                <m:ctrlPr>
                  <w:rPr>
                    <w:rFonts w:hint="eastAsia" w:ascii="Cambria Math" w:hAnsi="Cambria Math" w:cs="宋体"/>
                    <w:color w:val="auto"/>
                    <w:sz w:val="21"/>
                    <w:szCs w:val="21"/>
                    <w:highlight w:val="none"/>
                  </w:rPr>
                </m:ctrlPr>
              </m:e>
              <m:sub>
                <m:r>
                  <m:rPr>
                    <m:sty m:val="p"/>
                  </m:rPr>
                  <w:rPr>
                    <w:rFonts w:hint="eastAsia" w:ascii="Cambria Math" w:hAnsi="Cambria Math" w:cs="宋体"/>
                    <w:color w:val="auto"/>
                    <w:sz w:val="21"/>
                    <w:szCs w:val="21"/>
                    <w:highlight w:val="none"/>
                  </w:rPr>
                  <m:t xml:space="preserve">3</m:t>
                </m:r>
                <m:ctrlPr>
                  <w:rPr>
                    <w:rFonts w:hint="eastAsia" w:ascii="Cambria Math" w:hAnsi="Cambria Math" w:cs="宋体"/>
                    <w:color w:val="auto"/>
                    <w:sz w:val="21"/>
                    <w:szCs w:val="21"/>
                    <w:highlight w:val="none"/>
                  </w:rPr>
                </m:ctrlPr>
              </m:sub>
            </m:sSub>
            <m:ctrlPr>
              <w:rPr>
                <w:rFonts w:hint="eastAsia" w:ascii="Cambria Math" w:hAnsi="Cambria Math" w:cs="宋体"/>
                <w:color w:val="auto"/>
                <w:sz w:val="21"/>
                <w:szCs w:val="21"/>
                <w:highlight w:val="none"/>
              </w:rPr>
            </m:ctrlPr>
          </m:sub>
        </m:sSub>
        <m:r>
          <m:rPr>
            <m:sty m:val="p"/>
          </m:rPr>
          <w:rPr>
            <w:rFonts w:hint="eastAsia" w:ascii="Cambria Math" w:hAnsi="Cambria Math" w:cs="宋体"/>
            <w:color w:val="auto"/>
            <w:sz w:val="21"/>
            <w:szCs w:val="21"/>
            <w:highlight w:val="none"/>
          </w:rPr>
          <m:t xml:space="preserve">=</m:t>
        </m:r>
        <m:f>
          <m:fPr>
            <m:ctrlPr>
              <w:rPr>
                <w:rFonts w:hint="eastAsia" w:ascii="Cambria Math" w:hAnsi="Cambria Math" w:cs="宋体"/>
                <w:color w:val="auto"/>
                <w:sz w:val="21"/>
                <w:szCs w:val="21"/>
                <w:highlight w:val="none"/>
              </w:rPr>
            </m:ctrlPr>
          </m:fPr>
          <m:num>
            <m:r>
              <m:rPr>
                <m:sty m:val="p"/>
              </m:rPr>
              <w:rPr>
                <w:rFonts w:hint="eastAsia" w:ascii="Cambria Math" w:hAnsi="Cambria Math" w:cs="宋体"/>
                <w:color w:val="auto"/>
                <w:sz w:val="21"/>
                <w:szCs w:val="21"/>
                <w:highlight w:val="none"/>
              </w:rPr>
              <m:t xml:space="preserve">c（</m:t>
            </m:r>
            <m:sSub>
              <m:sSubPr>
                <m:ctrlPr>
                  <w:rPr>
                    <w:rFonts w:hint="eastAsia" w:ascii="Cambria Math" w:hAnsi="Cambria Math" w:cs="宋体"/>
                    <w:color w:val="auto"/>
                    <w:sz w:val="21"/>
                    <w:szCs w:val="21"/>
                    <w:highlight w:val="none"/>
                  </w:rPr>
                </m:ctrlPr>
              </m:sSubPr>
              <m:e>
                <m:r>
                  <m:rPr>
                    <m:sty m:val="p"/>
                  </m:rPr>
                  <w:rPr>
                    <w:rFonts w:hint="eastAsia" w:ascii="Cambria Math" w:hAnsi="Cambria Math" w:cs="宋体"/>
                    <w:color w:val="auto"/>
                    <w:sz w:val="21"/>
                    <w:szCs w:val="21"/>
                    <w:highlight w:val="none"/>
                  </w:rPr>
                  <m:t xml:space="preserve">V</m:t>
                </m:r>
                <m:ctrlPr>
                  <w:rPr>
                    <w:rFonts w:hint="eastAsia" w:ascii="Cambria Math" w:hAnsi="Cambria Math" w:cs="宋体"/>
                    <w:color w:val="auto"/>
                    <w:sz w:val="21"/>
                    <w:szCs w:val="21"/>
                    <w:highlight w:val="none"/>
                  </w:rPr>
                </m:ctrlPr>
              </m:e>
              <m:sub>
                <m:r>
                  <m:rPr>
                    <m:sty m:val="p"/>
                  </m:rPr>
                  <w:rPr>
                    <w:rFonts w:hint="eastAsia" w:ascii="Cambria Math" w:hAnsi="Cambria Math" w:cs="宋体"/>
                    <w:color w:val="auto"/>
                    <w:sz w:val="21"/>
                    <w:szCs w:val="21"/>
                    <w:highlight w:val="none"/>
                  </w:rPr>
                  <m:t xml:space="preserve">2</m:t>
                </m:r>
                <m:ctrlPr>
                  <w:rPr>
                    <w:rFonts w:hint="eastAsia" w:ascii="Cambria Math" w:hAnsi="Cambria Math" w:cs="宋体"/>
                    <w:color w:val="auto"/>
                    <w:sz w:val="21"/>
                    <w:szCs w:val="21"/>
                    <w:highlight w:val="none"/>
                  </w:rPr>
                </m:ctrlPr>
              </m:sub>
            </m:sSub>
            <m:r>
              <m:rPr>
                <m:sty m:val="p"/>
              </m:rPr>
              <w:rPr>
                <w:rFonts w:hint="eastAsia" w:ascii="Cambria Math" w:hAnsi="Cambria Math" w:cs="宋体"/>
                <w:color w:val="auto"/>
                <w:sz w:val="21"/>
                <w:szCs w:val="21"/>
                <w:highlight w:val="none"/>
              </w:rPr>
              <m:t xml:space="preserve">−</m:t>
            </m:r>
            <m:sSub>
              <m:sSubPr>
                <m:ctrlPr>
                  <w:rPr>
                    <w:rFonts w:hint="eastAsia" w:ascii="Cambria Math" w:hAnsi="Cambria Math" w:cs="宋体"/>
                    <w:color w:val="auto"/>
                    <w:sz w:val="21"/>
                    <w:szCs w:val="21"/>
                    <w:highlight w:val="none"/>
                  </w:rPr>
                </m:ctrlPr>
              </m:sSubPr>
              <m:e>
                <m:r>
                  <m:rPr>
                    <m:sty m:val="p"/>
                  </m:rPr>
                  <w:rPr>
                    <w:rFonts w:hint="eastAsia" w:ascii="Cambria Math" w:hAnsi="Cambria Math" w:cs="宋体"/>
                    <w:color w:val="auto"/>
                    <w:sz w:val="21"/>
                    <w:szCs w:val="21"/>
                    <w:highlight w:val="none"/>
                  </w:rPr>
                  <m:t xml:space="preserve">V</m:t>
                </m:r>
                <m:ctrlPr>
                  <w:rPr>
                    <w:rFonts w:hint="eastAsia" w:ascii="Cambria Math" w:hAnsi="Cambria Math" w:cs="宋体"/>
                    <w:color w:val="auto"/>
                    <w:sz w:val="21"/>
                    <w:szCs w:val="21"/>
                    <w:highlight w:val="none"/>
                  </w:rPr>
                </m:ctrlPr>
              </m:e>
              <m:sub>
                <m:r>
                  <m:rPr>
                    <m:sty m:val="p"/>
                  </m:rPr>
                  <w:rPr>
                    <w:rFonts w:hint="eastAsia" w:ascii="Cambria Math" w:hAnsi="Cambria Math" w:cs="宋体"/>
                    <w:color w:val="auto"/>
                    <w:sz w:val="21"/>
                    <w:szCs w:val="21"/>
                    <w:highlight w:val="none"/>
                  </w:rPr>
                  <m:t xml:space="preserve">1</m:t>
                </m:r>
                <m:ctrlPr>
                  <w:rPr>
                    <w:rFonts w:hint="eastAsia" w:ascii="Cambria Math" w:hAnsi="Cambria Math" w:cs="宋体"/>
                    <w:color w:val="auto"/>
                    <w:sz w:val="21"/>
                    <w:szCs w:val="21"/>
                    <w:highlight w:val="none"/>
                  </w:rPr>
                </m:ctrlPr>
              </m:sub>
            </m:sSub>
            <m:r>
              <m:rPr>
                <m:sty m:val="p"/>
              </m:rPr>
              <w:rPr>
                <w:rFonts w:hint="eastAsia" w:ascii="Cambria Math" w:hAnsi="Cambria Math" w:cs="宋体"/>
                <w:color w:val="auto"/>
                <w:sz w:val="21"/>
                <w:szCs w:val="21"/>
                <w:highlight w:val="none"/>
              </w:rPr>
              <m:t xml:space="preserve">）×</m:t>
            </m:r>
            <m:sSub>
              <m:sSubPr>
                <m:ctrlPr>
                  <w:rPr>
                    <w:rFonts w:hint="eastAsia" w:ascii="Cambria Math" w:hAnsi="Cambria Math" w:cs="宋体"/>
                    <w:color w:val="auto"/>
                    <w:sz w:val="21"/>
                    <w:szCs w:val="21"/>
                    <w:highlight w:val="none"/>
                  </w:rPr>
                </m:ctrlPr>
              </m:sSubPr>
              <m:e>
                <m:r>
                  <m:rPr>
                    <m:sty m:val="p"/>
                  </m:rPr>
                  <w:rPr>
                    <w:rFonts w:hint="eastAsia" w:ascii="Cambria Math" w:hAnsi="Cambria Math" w:cs="宋体"/>
                    <w:color w:val="auto"/>
                    <w:sz w:val="21"/>
                    <w:szCs w:val="21"/>
                    <w:highlight w:val="none"/>
                  </w:rPr>
                  <m:t xml:space="preserve">m</m:t>
                </m:r>
                <m:ctrlPr>
                  <w:rPr>
                    <w:rFonts w:hint="eastAsia" w:ascii="Cambria Math" w:hAnsi="Cambria Math" w:cs="宋体"/>
                    <w:color w:val="auto"/>
                    <w:sz w:val="21"/>
                    <w:szCs w:val="21"/>
                    <w:highlight w:val="none"/>
                  </w:rPr>
                </m:ctrlPr>
              </m:e>
              <m:sub>
                <m:r>
                  <m:rPr>
                    <m:sty m:val="p"/>
                  </m:rPr>
                  <w:rPr>
                    <w:rFonts w:hint="eastAsia" w:ascii="Cambria Math" w:hAnsi="Cambria Math" w:cs="宋体"/>
                    <w:color w:val="auto"/>
                    <w:sz w:val="21"/>
                    <w:szCs w:val="21"/>
                    <w:highlight w:val="none"/>
                  </w:rPr>
                  <m:t xml:space="preserve">2</m:t>
                </m:r>
                <m:ctrlPr>
                  <w:rPr>
                    <w:rFonts w:hint="eastAsia" w:ascii="Cambria Math" w:hAnsi="Cambria Math" w:cs="宋体"/>
                    <w:color w:val="auto"/>
                    <w:sz w:val="21"/>
                    <w:szCs w:val="21"/>
                    <w:highlight w:val="none"/>
                  </w:rPr>
                </m:ctrlPr>
              </m:sub>
            </m:sSub>
            <m:r>
              <m:rPr>
                <m:sty m:val="p"/>
              </m:rPr>
              <w:rPr>
                <w:rFonts w:hint="eastAsia" w:ascii="Cambria Math" w:hAnsi="Cambria Math" w:cs="宋体"/>
                <w:color w:val="auto"/>
                <w:sz w:val="21"/>
                <w:szCs w:val="21"/>
                <w:highlight w:val="none"/>
              </w:rPr>
              <m:t xml:space="preserve">×106.0</m:t>
            </m:r>
            <m:ctrlPr>
              <w:rPr>
                <w:rFonts w:hint="eastAsia" w:ascii="Cambria Math" w:hAnsi="Cambria Math" w:cs="宋体"/>
                <w:color w:val="auto"/>
                <w:sz w:val="21"/>
                <w:szCs w:val="21"/>
                <w:highlight w:val="none"/>
              </w:rPr>
            </m:ctrlPr>
          </m:num>
          <m:den>
            <m:sSub>
              <m:sSubPr>
                <m:ctrlPr>
                  <w:rPr>
                    <w:rFonts w:hint="eastAsia" w:ascii="Cambria Math" w:hAnsi="Cambria Math" w:cs="宋体"/>
                    <w:color w:val="auto"/>
                    <w:sz w:val="21"/>
                    <w:szCs w:val="21"/>
                    <w:highlight w:val="none"/>
                  </w:rPr>
                </m:ctrlPr>
              </m:sSubPr>
              <m:e>
                <m:r>
                  <m:rPr>
                    <m:sty m:val="p"/>
                  </m:rPr>
                  <w:rPr>
                    <w:rFonts w:hint="eastAsia" w:ascii="Cambria Math" w:hAnsi="Cambria Math" w:cs="宋体"/>
                    <w:color w:val="auto"/>
                    <w:sz w:val="21"/>
                    <w:szCs w:val="21"/>
                    <w:highlight w:val="none"/>
                  </w:rPr>
                  <m:t xml:space="preserve">m</m:t>
                </m:r>
                <m:ctrlPr>
                  <w:rPr>
                    <w:rFonts w:hint="eastAsia" w:ascii="Cambria Math" w:hAnsi="Cambria Math" w:cs="宋体"/>
                    <w:color w:val="auto"/>
                    <w:sz w:val="21"/>
                    <w:szCs w:val="21"/>
                    <w:highlight w:val="none"/>
                  </w:rPr>
                </m:ctrlPr>
              </m:e>
              <m:sub>
                <m:r>
                  <m:rPr>
                    <m:sty m:val="p"/>
                  </m:rPr>
                  <w:rPr>
                    <w:rFonts w:hint="eastAsia" w:ascii="Cambria Math" w:hAnsi="Cambria Math" w:cs="宋体"/>
                    <w:color w:val="auto"/>
                    <w:sz w:val="21"/>
                    <w:szCs w:val="21"/>
                    <w:highlight w:val="none"/>
                  </w:rPr>
                  <m:t xml:space="preserve">1</m:t>
                </m:r>
                <m:ctrlPr>
                  <w:rPr>
                    <w:rFonts w:hint="eastAsia" w:ascii="Cambria Math" w:hAnsi="Cambria Math" w:cs="宋体"/>
                    <w:color w:val="auto"/>
                    <w:sz w:val="21"/>
                    <w:szCs w:val="21"/>
                    <w:highlight w:val="none"/>
                  </w:rPr>
                </m:ctrlPr>
              </m:sub>
            </m:sSub>
            <m:r>
              <m:rPr>
                <m:sty m:val="p"/>
              </m:rPr>
              <w:rPr>
                <w:rFonts w:hint="eastAsia" w:ascii="Cambria Math" w:hAnsi="Cambria Math" w:cs="宋体"/>
                <w:color w:val="auto"/>
                <w:sz w:val="21"/>
                <w:szCs w:val="21"/>
                <w:highlight w:val="none"/>
              </w:rPr>
              <m:t xml:space="preserve">×</m:t>
            </m:r>
            <m:sSub>
              <m:sSubPr>
                <m:ctrlPr>
                  <w:rPr>
                    <w:rFonts w:hint="eastAsia" w:ascii="Cambria Math" w:hAnsi="Cambria Math" w:cs="宋体"/>
                    <w:color w:val="auto"/>
                    <w:sz w:val="21"/>
                    <w:szCs w:val="21"/>
                    <w:highlight w:val="none"/>
                  </w:rPr>
                </m:ctrlPr>
              </m:sSubPr>
              <m:e>
                <m:r>
                  <m:rPr>
                    <m:sty m:val="p"/>
                  </m:rPr>
                  <w:rPr>
                    <w:rFonts w:hint="eastAsia" w:ascii="Cambria Math" w:hAnsi="Cambria Math" w:cs="宋体"/>
                    <w:color w:val="auto"/>
                    <w:sz w:val="21"/>
                    <w:szCs w:val="21"/>
                    <w:highlight w:val="none"/>
                  </w:rPr>
                  <m:t xml:space="preserve">m</m:t>
                </m:r>
                <m:ctrlPr>
                  <w:rPr>
                    <w:rFonts w:hint="eastAsia" w:ascii="Cambria Math" w:hAnsi="Cambria Math" w:cs="宋体"/>
                    <w:color w:val="auto"/>
                    <w:sz w:val="21"/>
                    <w:szCs w:val="21"/>
                    <w:highlight w:val="none"/>
                  </w:rPr>
                </m:ctrlPr>
              </m:e>
              <m:sub>
                <m:r>
                  <m:rPr>
                    <m:sty m:val="p"/>
                  </m:rPr>
                  <w:rPr>
                    <w:rFonts w:hint="eastAsia" w:ascii="Cambria Math" w:hAnsi="Cambria Math" w:cs="宋体"/>
                    <w:color w:val="auto"/>
                    <w:sz w:val="21"/>
                    <w:szCs w:val="21"/>
                    <w:highlight w:val="none"/>
                  </w:rPr>
                  <m:t xml:space="preserve">3</m:t>
                </m:r>
                <m:ctrlPr>
                  <w:rPr>
                    <w:rFonts w:hint="eastAsia" w:ascii="Cambria Math" w:hAnsi="Cambria Math" w:cs="宋体"/>
                    <w:color w:val="auto"/>
                    <w:sz w:val="21"/>
                    <w:szCs w:val="21"/>
                    <w:highlight w:val="none"/>
                  </w:rPr>
                </m:ctrlPr>
              </m:sub>
            </m:sSub>
            <m:r>
              <m:rPr>
                <m:sty m:val="p"/>
              </m:rPr>
              <w:rPr>
                <w:rFonts w:hint="eastAsia" w:ascii="Cambria Math" w:hAnsi="Cambria Math" w:cs="宋体"/>
                <w:color w:val="auto"/>
                <w:sz w:val="21"/>
                <w:szCs w:val="21"/>
                <w:highlight w:val="none"/>
              </w:rPr>
              <m:t xml:space="preserve">×</m:t>
            </m:r>
            <m:sSup>
              <m:sSupPr>
                <m:ctrlPr>
                  <w:rPr>
                    <w:rFonts w:hint="eastAsia" w:ascii="Cambria Math" w:hAnsi="Cambria Math" w:cs="宋体"/>
                    <w:color w:val="auto"/>
                    <w:sz w:val="21"/>
                    <w:szCs w:val="21"/>
                    <w:highlight w:val="none"/>
                  </w:rPr>
                </m:ctrlPr>
              </m:sSupPr>
              <m:e>
                <m:r>
                  <m:rPr>
                    <m:sty m:val="p"/>
                  </m:rPr>
                  <w:rPr>
                    <w:rFonts w:hint="eastAsia" w:ascii="Cambria Math" w:hAnsi="Cambria Math" w:cs="宋体"/>
                    <w:color w:val="auto"/>
                    <w:sz w:val="21"/>
                    <w:szCs w:val="21"/>
                    <w:highlight w:val="none"/>
                  </w:rPr>
                  <m:t xml:space="preserve">10</m:t>
                </m:r>
                <m:ctrlPr>
                  <w:rPr>
                    <w:rFonts w:hint="eastAsia" w:ascii="Cambria Math" w:hAnsi="Cambria Math" w:cs="宋体"/>
                    <w:color w:val="auto"/>
                    <w:sz w:val="21"/>
                    <w:szCs w:val="21"/>
                    <w:highlight w:val="none"/>
                  </w:rPr>
                </m:ctrlPr>
              </m:e>
              <m:sup>
                <m:r>
                  <m:rPr>
                    <m:sty m:val="p"/>
                  </m:rPr>
                  <w:rPr>
                    <w:rFonts w:hint="eastAsia" w:ascii="Cambria Math" w:hAnsi="Cambria Math" w:cs="宋体"/>
                    <w:color w:val="auto"/>
                    <w:sz w:val="21"/>
                    <w:szCs w:val="21"/>
                    <w:highlight w:val="none"/>
                  </w:rPr>
                  <m:t xml:space="preserve">3</m:t>
                </m:r>
                <m:ctrlPr>
                  <w:rPr>
                    <w:rFonts w:hint="eastAsia" w:ascii="Cambria Math" w:hAnsi="Cambria Math" w:cs="宋体"/>
                    <w:color w:val="auto"/>
                    <w:sz w:val="21"/>
                    <w:szCs w:val="21"/>
                    <w:highlight w:val="none"/>
                  </w:rPr>
                </m:ctrlPr>
              </m:sup>
            </m:sSup>
            <m:ctrlPr>
              <w:rPr>
                <w:rFonts w:hint="eastAsia" w:ascii="Cambria Math" w:hAnsi="Cambria Math" w:cs="宋体"/>
                <w:color w:val="auto"/>
                <w:sz w:val="21"/>
                <w:szCs w:val="21"/>
                <w:highlight w:val="none"/>
              </w:rPr>
            </m:ctrlPr>
          </m:den>
        </m:f>
        <m:r>
          <m:rPr>
            <m:sty m:val="p"/>
          </m:rPr>
          <w:rPr>
            <w:rFonts w:hint="eastAsia" w:ascii="Cambria Math" w:hAnsi="Cambria Math" w:cs="宋体"/>
            <w:color w:val="auto"/>
            <w:sz w:val="21"/>
            <w:szCs w:val="21"/>
            <w:highlight w:val="none"/>
          </w:rPr>
          <m:t xml:space="preserve">×100%</m:t>
        </m:r>
      </m:oMath>
      <w:r>
        <w:rPr>
          <w:rFonts w:hint="eastAsia" w:ascii="宋体" w:hAnsi="宋体" w:cs="宋体"/>
          <w:color w:val="auto"/>
          <w:szCs w:val="21"/>
          <w:highlight w:val="none"/>
        </w:rPr>
        <w:instrText xml:space="preserve"> </w:instrText>
      </w:r>
      <w:r>
        <w:rPr>
          <w:rFonts w:hint="eastAsia" w:ascii="宋体" w:hAnsi="宋体" w:cs="宋体"/>
          <w:color w:val="auto"/>
          <w:szCs w:val="21"/>
          <w:highlight w:val="none"/>
        </w:rPr>
        <w:fldChar w:fldCharType="separate"/>
      </w:r>
      <w:r>
        <w:rPr>
          <w:rFonts w:hint="eastAsia" w:ascii="宋体" w:hAnsi="宋体" w:cs="宋体"/>
          <w:color w:val="auto"/>
          <w:szCs w:val="21"/>
          <w:highlight w:val="none"/>
        </w:rPr>
        <w:fldChar w:fldCharType="end"/>
      </w:r>
      <w:r>
        <w:rPr>
          <w:rFonts w:hint="eastAsia" w:ascii="宋体" w:hAnsi="宋体" w:cs="宋体"/>
          <w:color w:val="auto"/>
          <w:szCs w:val="21"/>
          <w:highlight w:val="none"/>
        </w:rPr>
        <w:t>…………………………</w:t>
      </w:r>
      <w:r>
        <w:rPr>
          <w:rFonts w:ascii="Times New Roman"/>
          <w:color w:val="auto"/>
          <w:szCs w:val="21"/>
          <w:highlight w:val="none"/>
        </w:rPr>
        <w:t>(</w:t>
      </w:r>
      <w:r>
        <w:rPr>
          <w:rFonts w:hint="eastAsia" w:ascii="Times New Roman"/>
          <w:color w:val="auto"/>
          <w:szCs w:val="21"/>
          <w:highlight w:val="none"/>
          <w:lang w:val="en-US" w:eastAsia="zh-CN"/>
        </w:rPr>
        <w:t>6</w:t>
      </w:r>
      <w:r>
        <w:rPr>
          <w:rFonts w:ascii="Times New Roman"/>
          <w:color w:val="auto"/>
          <w:szCs w:val="21"/>
          <w:highlight w:val="none"/>
        </w:rPr>
        <w:t>)</w:t>
      </w:r>
    </w:p>
    <w:p>
      <w:pPr>
        <w:widowControl/>
        <w:spacing w:before="156" w:beforeLines="50" w:after="156" w:afterLines="50" w:line="360" w:lineRule="exact"/>
        <w:ind w:firstLine="420"/>
        <w:outlineLvl w:val="3"/>
        <w:rPr>
          <w:color w:val="auto"/>
          <w:kern w:val="0"/>
          <w:szCs w:val="20"/>
          <w:highlight w:val="none"/>
        </w:rPr>
      </w:pPr>
      <w:r>
        <w:rPr>
          <w:rFonts w:hint="eastAsia"/>
          <w:color w:val="auto"/>
          <w:kern w:val="0"/>
          <w:szCs w:val="20"/>
          <w:highlight w:val="none"/>
        </w:rPr>
        <w:t>式中：</w:t>
      </w:r>
    </w:p>
    <w:p>
      <w:pPr>
        <w:widowControl/>
        <w:spacing w:line="360" w:lineRule="exact"/>
        <w:ind w:firstLine="420"/>
        <w:outlineLvl w:val="3"/>
        <w:rPr>
          <w:rFonts w:ascii="Times New Roman" w:hAnsi="Times New Roman"/>
          <w:color w:val="auto"/>
          <w:kern w:val="0"/>
          <w:szCs w:val="20"/>
          <w:highlight w:val="none"/>
        </w:rPr>
      </w:pPr>
      <w:r>
        <w:rPr>
          <w:rFonts w:hint="default" w:ascii="Times New Roman" w:hAnsi="Times New Roman"/>
          <w:i/>
          <w:iCs/>
          <w:color w:val="auto"/>
          <w:kern w:val="0"/>
          <w:szCs w:val="20"/>
          <w:highlight w:val="none"/>
        </w:rPr>
        <w:t>V</w:t>
      </w:r>
      <w:r>
        <w:rPr>
          <w:rFonts w:hint="default" w:ascii="Times New Roman" w:hAnsi="Times New Roman"/>
          <w:color w:val="auto"/>
          <w:kern w:val="0"/>
          <w:szCs w:val="20"/>
          <w:highlight w:val="none"/>
          <w:vertAlign w:val="subscript"/>
        </w:rPr>
        <w:t>2</w:t>
      </w:r>
      <w:r>
        <w:rPr>
          <w:rFonts w:ascii="Times New Roman" w:hAnsi="Times New Roman"/>
          <w:color w:val="auto"/>
          <w:kern w:val="0"/>
          <w:szCs w:val="20"/>
          <w:highlight w:val="none"/>
        </w:rPr>
        <w:t>——</w:t>
      </w:r>
      <w:r>
        <w:rPr>
          <w:rFonts w:hint="default" w:ascii="Times New Roman" w:hAnsi="Times New Roman"/>
          <w:color w:val="auto"/>
          <w:kern w:val="0"/>
          <w:szCs w:val="20"/>
          <w:highlight w:val="none"/>
        </w:rPr>
        <w:t>滴定至第二个变色点时所消耗的盐酸标准滴定溶液的体积的数值，单位为毫升（mL）；</w:t>
      </w:r>
    </w:p>
    <w:p>
      <w:pPr>
        <w:widowControl/>
        <w:numPr>
          <w:ilvl w:val="-1"/>
          <w:numId w:val="0"/>
        </w:numPr>
        <w:adjustRightInd/>
        <w:spacing w:line="360" w:lineRule="exact"/>
        <w:ind w:firstLine="420" w:firstLineChars="200"/>
        <w:outlineLvl w:val="3"/>
        <w:rPr>
          <w:rFonts w:ascii="Times New Roman" w:hAnsi="Times New Roman"/>
          <w:color w:val="auto"/>
          <w:kern w:val="0"/>
          <w:szCs w:val="20"/>
          <w:highlight w:val="none"/>
        </w:rPr>
      </w:pPr>
      <w:r>
        <w:rPr>
          <w:rFonts w:hint="default" w:ascii="Times New Roman" w:hAnsi="Times New Roman"/>
          <w:i/>
          <w:iCs/>
          <w:color w:val="auto"/>
          <w:kern w:val="0"/>
          <w:szCs w:val="20"/>
          <w:highlight w:val="none"/>
        </w:rPr>
        <w:t>V</w:t>
      </w:r>
      <w:r>
        <w:rPr>
          <w:rFonts w:hint="default" w:ascii="Times New Roman" w:hAnsi="Times New Roman"/>
          <w:color w:val="auto"/>
          <w:kern w:val="0"/>
          <w:szCs w:val="20"/>
          <w:highlight w:val="none"/>
          <w:vertAlign w:val="subscript"/>
        </w:rPr>
        <w:t>1</w:t>
      </w:r>
      <w:r>
        <w:rPr>
          <w:rFonts w:ascii="Times New Roman" w:hAnsi="Times New Roman"/>
          <w:color w:val="auto"/>
          <w:kern w:val="0"/>
          <w:szCs w:val="20"/>
          <w:highlight w:val="none"/>
        </w:rPr>
        <w:t>——</w:t>
      </w:r>
      <w:r>
        <w:rPr>
          <w:rFonts w:hint="default" w:ascii="Times New Roman" w:hAnsi="Times New Roman"/>
          <w:color w:val="auto"/>
          <w:kern w:val="0"/>
          <w:szCs w:val="20"/>
          <w:highlight w:val="none"/>
        </w:rPr>
        <w:t>滴定至第一个点时所消耗的盐酸标准滴定溶液的体积的数值，单位为毫升（mL）；</w:t>
      </w:r>
    </w:p>
    <w:p>
      <w:pPr>
        <w:widowControl/>
        <w:spacing w:line="360" w:lineRule="exact"/>
        <w:ind w:firstLine="420"/>
        <w:outlineLvl w:val="3"/>
        <w:rPr>
          <w:rFonts w:ascii="Times New Roman" w:hAnsi="Times New Roman"/>
          <w:color w:val="auto"/>
          <w:kern w:val="0"/>
          <w:szCs w:val="20"/>
          <w:highlight w:val="none"/>
        </w:rPr>
      </w:pPr>
      <w:r>
        <w:rPr>
          <w:rFonts w:hint="default" w:ascii="Times New Roman" w:hAnsi="Times New Roman"/>
          <w:i/>
          <w:iCs/>
          <w:color w:val="auto"/>
          <w:kern w:val="0"/>
          <w:szCs w:val="20"/>
          <w:highlight w:val="none"/>
        </w:rPr>
        <w:t>c</w:t>
      </w:r>
      <w:r>
        <w:rPr>
          <w:rFonts w:ascii="Times New Roman" w:hAnsi="Times New Roman"/>
          <w:color w:val="auto"/>
          <w:kern w:val="0"/>
          <w:szCs w:val="20"/>
          <w:highlight w:val="none"/>
        </w:rPr>
        <w:t>——</w:t>
      </w:r>
      <w:r>
        <w:rPr>
          <w:rFonts w:hint="default" w:ascii="Times New Roman" w:hAnsi="Times New Roman"/>
          <w:color w:val="auto"/>
          <w:kern w:val="0"/>
          <w:szCs w:val="20"/>
          <w:highlight w:val="none"/>
        </w:rPr>
        <w:t>盐酸标准滴定溶液</w:t>
      </w:r>
      <w:r>
        <w:rPr>
          <w:rFonts w:hint="default" w:ascii="Times New Roman" w:hAnsi="Times New Roman"/>
          <w:color w:val="auto"/>
          <w:kern w:val="0"/>
          <w:szCs w:val="20"/>
          <w:highlight w:val="none"/>
          <w:lang w:eastAsia="zh-CN"/>
        </w:rPr>
        <w:t>（</w:t>
      </w:r>
      <w:r>
        <w:rPr>
          <w:rFonts w:hint="default" w:ascii="Times New Roman" w:hAnsi="Times New Roman"/>
          <w:color w:val="auto"/>
          <w:kern w:val="0"/>
          <w:szCs w:val="20"/>
          <w:highlight w:val="none"/>
          <w:lang w:val="en-US" w:eastAsia="zh-CN"/>
        </w:rPr>
        <w:t>6.5.2.3</w:t>
      </w:r>
      <w:r>
        <w:rPr>
          <w:rFonts w:hint="default" w:ascii="Times New Roman" w:hAnsi="Times New Roman"/>
          <w:color w:val="auto"/>
          <w:kern w:val="0"/>
          <w:szCs w:val="20"/>
          <w:highlight w:val="none"/>
          <w:lang w:eastAsia="zh-CN"/>
        </w:rPr>
        <w:t>）</w:t>
      </w:r>
      <w:r>
        <w:rPr>
          <w:rFonts w:hint="default" w:ascii="Times New Roman" w:hAnsi="Times New Roman"/>
          <w:color w:val="auto"/>
          <w:kern w:val="0"/>
          <w:szCs w:val="20"/>
          <w:highlight w:val="none"/>
        </w:rPr>
        <w:t>浓度的准确数值，单位为摩尔每升（mol/L）；</w:t>
      </w:r>
    </w:p>
    <w:p>
      <w:pPr>
        <w:widowControl/>
        <w:spacing w:line="360" w:lineRule="exact"/>
        <w:ind w:firstLine="420"/>
        <w:outlineLvl w:val="3"/>
        <w:rPr>
          <w:rFonts w:ascii="Times New Roman" w:hAnsi="Times New Roman"/>
          <w:color w:val="auto"/>
          <w:kern w:val="0"/>
          <w:szCs w:val="20"/>
          <w:highlight w:val="none"/>
        </w:rPr>
      </w:pPr>
      <w:r>
        <w:rPr>
          <w:rFonts w:hint="default" w:ascii="Times New Roman" w:hAnsi="Times New Roman"/>
          <w:i/>
          <w:iCs/>
          <w:color w:val="auto"/>
          <w:kern w:val="0"/>
          <w:szCs w:val="20"/>
          <w:highlight w:val="none"/>
        </w:rPr>
        <w:t>M</w:t>
      </w:r>
      <w:r>
        <w:rPr>
          <w:rFonts w:ascii="Times New Roman" w:hAnsi="Times New Roman"/>
          <w:color w:val="auto"/>
          <w:kern w:val="0"/>
          <w:szCs w:val="20"/>
          <w:highlight w:val="none"/>
        </w:rPr>
        <w:t>——</w:t>
      </w:r>
      <w:r>
        <w:rPr>
          <w:rFonts w:hint="default" w:ascii="Times New Roman" w:hAnsi="Times New Roman"/>
          <w:color w:val="auto"/>
          <w:kern w:val="0"/>
          <w:szCs w:val="20"/>
          <w:highlight w:val="none"/>
        </w:rPr>
        <w:t>碳酸钠（</w:t>
      </w:r>
      <w:r>
        <w:rPr>
          <w:rFonts w:ascii="Times New Roman" w:hAnsi="Times New Roman"/>
          <w:color w:val="auto"/>
          <w:kern w:val="0"/>
          <w:szCs w:val="20"/>
          <w:highlight w:val="none"/>
        </w:rPr>
        <w:t>Na</w:t>
      </w:r>
      <w:r>
        <w:rPr>
          <w:rFonts w:hint="default" w:ascii="Times New Roman" w:hAnsi="Times New Roman"/>
          <w:color w:val="auto"/>
          <w:kern w:val="0"/>
          <w:szCs w:val="20"/>
          <w:highlight w:val="none"/>
          <w:vertAlign w:val="subscript"/>
        </w:rPr>
        <w:t>2</w:t>
      </w:r>
      <w:r>
        <w:rPr>
          <w:rFonts w:ascii="Times New Roman" w:hAnsi="Times New Roman"/>
          <w:color w:val="auto"/>
          <w:kern w:val="0"/>
          <w:szCs w:val="20"/>
          <w:highlight w:val="none"/>
        </w:rPr>
        <w:t>CO</w:t>
      </w:r>
      <w:r>
        <w:rPr>
          <w:rFonts w:hint="default" w:ascii="Times New Roman" w:hAnsi="Times New Roman"/>
          <w:color w:val="auto"/>
          <w:kern w:val="0"/>
          <w:szCs w:val="20"/>
          <w:highlight w:val="none"/>
          <w:vertAlign w:val="subscript"/>
        </w:rPr>
        <w:t>3</w:t>
      </w:r>
      <w:r>
        <w:rPr>
          <w:rFonts w:hint="default" w:ascii="Times New Roman" w:hAnsi="Times New Roman"/>
          <w:color w:val="auto"/>
          <w:kern w:val="0"/>
          <w:szCs w:val="20"/>
          <w:highlight w:val="none"/>
        </w:rPr>
        <w:t>）摩尔质量的数值，单位为克每摩尔（g/mol）</w:t>
      </w:r>
      <w:r>
        <w:rPr>
          <w:rFonts w:hint="default" w:ascii="Times New Roman" w:hAnsi="Times New Roman"/>
          <w:color w:val="auto"/>
          <w:highlight w:val="none"/>
        </w:rPr>
        <w:t>（</w:t>
      </w:r>
      <w:r>
        <w:rPr>
          <w:rFonts w:ascii="Times New Roman" w:hAnsi="Times New Roman"/>
          <w:i/>
          <w:iCs/>
          <w:color w:val="auto"/>
          <w:highlight w:val="none"/>
        </w:rPr>
        <w:t>M</w:t>
      </w:r>
      <w:r>
        <w:rPr>
          <w:rFonts w:ascii="Times New Roman" w:hAnsi="Times New Roman"/>
          <w:color w:val="auto"/>
          <w:highlight w:val="none"/>
        </w:rPr>
        <w:t>=</w:t>
      </w:r>
      <w:r>
        <w:rPr>
          <w:rFonts w:hint="eastAsia" w:ascii="Times New Roman" w:hAnsi="Times New Roman"/>
          <w:color w:val="auto"/>
          <w:highlight w:val="none"/>
          <w:lang w:val="en-US" w:eastAsia="zh-CN"/>
        </w:rPr>
        <w:t>106.0</w:t>
      </w:r>
      <w:r>
        <w:rPr>
          <w:rFonts w:hint="default" w:ascii="Times New Roman" w:hAnsi="Times New Roman"/>
          <w:color w:val="auto"/>
          <w:highlight w:val="none"/>
        </w:rPr>
        <w:t>）</w:t>
      </w:r>
      <w:r>
        <w:rPr>
          <w:rFonts w:hint="default" w:ascii="Times New Roman" w:hAnsi="Times New Roman"/>
          <w:color w:val="auto"/>
          <w:kern w:val="0"/>
          <w:szCs w:val="20"/>
          <w:highlight w:val="none"/>
        </w:rPr>
        <w:t>；</w:t>
      </w:r>
    </w:p>
    <w:p>
      <w:pPr>
        <w:widowControl/>
        <w:spacing w:line="360" w:lineRule="exact"/>
        <w:ind w:firstLine="420"/>
        <w:outlineLvl w:val="3"/>
        <w:rPr>
          <w:rFonts w:ascii="Times New Roman" w:hAnsi="Times New Roman"/>
          <w:color w:val="auto"/>
          <w:kern w:val="0"/>
          <w:szCs w:val="20"/>
          <w:highlight w:val="none"/>
        </w:rPr>
      </w:pPr>
      <w:r>
        <w:rPr>
          <w:rFonts w:hint="default" w:ascii="Times New Roman" w:hAnsi="Times New Roman"/>
          <w:i/>
          <w:iCs/>
          <w:color w:val="auto"/>
          <w:kern w:val="0"/>
          <w:szCs w:val="20"/>
          <w:highlight w:val="none"/>
        </w:rPr>
        <w:t>m</w:t>
      </w:r>
      <w:r>
        <w:rPr>
          <w:rFonts w:ascii="Times New Roman" w:hAnsi="Times New Roman"/>
          <w:color w:val="auto"/>
          <w:kern w:val="0"/>
          <w:szCs w:val="20"/>
          <w:highlight w:val="none"/>
        </w:rPr>
        <w:t>——</w:t>
      </w:r>
      <w:r>
        <w:rPr>
          <w:rFonts w:hint="default" w:ascii="Times New Roman" w:hAnsi="Times New Roman"/>
          <w:color w:val="auto"/>
          <w:kern w:val="0"/>
          <w:szCs w:val="20"/>
          <w:highlight w:val="none"/>
        </w:rPr>
        <w:t>试料的质量的数值，单位为克（g）。</w:t>
      </w:r>
    </w:p>
    <w:p>
      <w:pPr>
        <w:adjustRightInd w:val="0"/>
        <w:spacing w:line="400" w:lineRule="exact"/>
        <w:ind w:firstLine="420" w:firstLineChars="200"/>
        <w:rPr>
          <w:rFonts w:ascii="Calibri" w:hAnsi="Calibri"/>
          <w:color w:val="auto"/>
          <w:szCs w:val="20"/>
          <w:highlight w:val="none"/>
          <w14:ligatures w14:val="none"/>
        </w:rPr>
      </w:pPr>
      <w:r>
        <w:rPr>
          <w:rFonts w:ascii="Calibri" w:hAnsi="宋体"/>
          <w:color w:val="auto"/>
          <w:szCs w:val="20"/>
          <w:highlight w:val="none"/>
          <w14:ligatures w14:val="none"/>
        </w:rPr>
        <w:t>试验结果以平行测定结果的算术平均值为测定结果。</w:t>
      </w:r>
      <w:r>
        <w:rPr>
          <w:rFonts w:hint="eastAsia"/>
          <w:bCs/>
          <w:color w:val="auto"/>
          <w:szCs w:val="21"/>
          <w:highlight w:val="none"/>
          <w14:ligatures w14:val="none"/>
        </w:rPr>
        <w:t>两次平行测定结果的绝对差值与算术平均值之比不大于20%</w:t>
      </w:r>
      <w:r>
        <w:rPr>
          <w:rFonts w:ascii="Calibri" w:hAnsi="宋体"/>
          <w:color w:val="auto"/>
          <w:szCs w:val="20"/>
          <w:highlight w:val="none"/>
          <w14:ligatures w14:val="none"/>
        </w:rPr>
        <w:t>。</w:t>
      </w:r>
    </w:p>
    <w:p>
      <w:pPr>
        <w:widowControl/>
        <w:numPr>
          <w:ilvl w:val="4"/>
          <w:numId w:val="2"/>
        </w:numPr>
        <w:adjustRightInd/>
        <w:spacing w:line="360" w:lineRule="exact"/>
        <w:outlineLvl w:val="3"/>
        <w:rPr>
          <w:rFonts w:hint="eastAsia" w:ascii="黑体" w:hAnsi="黑体" w:eastAsia="黑体" w:cs="黑体"/>
          <w:color w:val="auto"/>
          <w:kern w:val="0"/>
          <w:szCs w:val="20"/>
          <w:highlight w:val="none"/>
        </w:rPr>
      </w:pPr>
      <w:r>
        <w:rPr>
          <w:rFonts w:hint="eastAsia" w:ascii="黑体" w:hAnsi="黑体" w:eastAsia="黑体" w:cs="黑体"/>
          <w:color w:val="auto"/>
          <w:kern w:val="0"/>
          <w:szCs w:val="20"/>
          <w:highlight w:val="none"/>
        </w:rPr>
        <w:t>残余氢氧化钠含量的计算</w:t>
      </w:r>
    </w:p>
    <w:p>
      <w:pPr>
        <w:widowControl/>
        <w:autoSpaceDE w:val="0"/>
        <w:autoSpaceDN w:val="0"/>
        <w:spacing w:line="360" w:lineRule="exact"/>
        <w:ind w:firstLine="420" w:firstLineChars="200"/>
        <w:rPr>
          <w:rFonts w:hint="eastAsia"/>
          <w:color w:val="auto"/>
          <w:kern w:val="0"/>
          <w:szCs w:val="20"/>
          <w:highlight w:val="none"/>
        </w:rPr>
      </w:pPr>
      <w:r>
        <w:rPr>
          <w:color w:val="auto"/>
          <w:kern w:val="0"/>
          <w:szCs w:val="20"/>
          <w:highlight w:val="none"/>
        </w:rPr>
        <w:t>残余</w:t>
      </w:r>
      <w:r>
        <w:rPr>
          <w:rFonts w:hint="eastAsia"/>
          <w:color w:val="auto"/>
          <w:kern w:val="0"/>
          <w:szCs w:val="20"/>
          <w:highlight w:val="none"/>
        </w:rPr>
        <w:t>氢氧化</w:t>
      </w:r>
      <w:r>
        <w:rPr>
          <w:color w:val="auto"/>
          <w:kern w:val="0"/>
          <w:szCs w:val="20"/>
          <w:highlight w:val="none"/>
        </w:rPr>
        <w:t>钠含量以</w:t>
      </w:r>
      <w:r>
        <w:rPr>
          <w:rFonts w:hint="eastAsia"/>
          <w:color w:val="auto"/>
          <w:kern w:val="0"/>
          <w:szCs w:val="20"/>
          <w:highlight w:val="none"/>
        </w:rPr>
        <w:t>氢氧化钠</w:t>
      </w:r>
      <w:r>
        <w:rPr>
          <w:color w:val="auto"/>
          <w:kern w:val="0"/>
          <w:szCs w:val="20"/>
          <w:highlight w:val="none"/>
        </w:rPr>
        <w:t>（Na</w:t>
      </w:r>
      <w:r>
        <w:rPr>
          <w:rFonts w:hint="eastAsia"/>
          <w:color w:val="auto"/>
          <w:kern w:val="0"/>
          <w:szCs w:val="20"/>
          <w:highlight w:val="none"/>
        </w:rPr>
        <w:t>OH</w:t>
      </w:r>
      <w:r>
        <w:rPr>
          <w:color w:val="auto"/>
          <w:kern w:val="0"/>
          <w:szCs w:val="20"/>
          <w:highlight w:val="none"/>
        </w:rPr>
        <w:t>）</w:t>
      </w:r>
      <w:r>
        <w:rPr>
          <w:rFonts w:hint="eastAsia"/>
          <w:color w:val="auto"/>
          <w:kern w:val="0"/>
          <w:szCs w:val="20"/>
          <w:highlight w:val="none"/>
        </w:rPr>
        <w:t>的质量分数</w:t>
      </w:r>
      <m:oMath>
        <m:sSub>
          <m:sSubPr>
            <m:ctrlPr>
              <w:rPr>
                <w:rFonts w:ascii="Cambria Math" w:hAnsi="Cambria Math"/>
                <w:i/>
                <w:color w:val="auto"/>
                <w:kern w:val="0"/>
                <w:szCs w:val="20"/>
                <w:highlight w:val="none"/>
              </w:rPr>
            </m:ctrlPr>
          </m:sSubPr>
          <m:e>
            <m:r>
              <m:rPr/>
              <w:rPr>
                <w:rFonts w:ascii="Cambria Math" w:hAnsi="Cambria Math"/>
                <w:color w:val="auto"/>
                <w:kern w:val="0"/>
                <w:szCs w:val="20"/>
                <w:highlight w:val="none"/>
              </w:rPr>
              <m:t>ω</m:t>
            </m:r>
            <m:ctrlPr>
              <w:rPr>
                <w:rFonts w:ascii="Cambria Math" w:hAnsi="Cambria Math"/>
                <w:i/>
                <w:color w:val="auto"/>
                <w:kern w:val="0"/>
                <w:szCs w:val="20"/>
                <w:highlight w:val="none"/>
              </w:rPr>
            </m:ctrlPr>
          </m:e>
          <m:sub>
            <m:r>
              <m:rPr>
                <m:sty m:val="p"/>
              </m:rPr>
              <w:rPr>
                <w:rFonts w:ascii="Cambria Math" w:hAnsi="Cambria Math"/>
                <w:color w:val="auto"/>
                <w:kern w:val="0"/>
                <w:szCs w:val="20"/>
                <w:highlight w:val="none"/>
              </w:rPr>
              <m:t>NaOH</m:t>
            </m:r>
            <m:ctrlPr>
              <w:rPr>
                <w:rFonts w:ascii="Cambria Math" w:hAnsi="Cambria Math"/>
                <w:i/>
                <w:color w:val="auto"/>
                <w:kern w:val="0"/>
                <w:szCs w:val="20"/>
                <w:highlight w:val="none"/>
              </w:rPr>
            </m:ctrlPr>
          </m:sub>
        </m:sSub>
      </m:oMath>
      <w:r>
        <w:rPr>
          <w:rFonts w:hint="eastAsia"/>
          <w:color w:val="auto"/>
          <w:kern w:val="0"/>
          <w:szCs w:val="20"/>
          <w:highlight w:val="none"/>
        </w:rPr>
        <w:t>计，按公式（</w:t>
      </w:r>
      <w:r>
        <w:rPr>
          <w:rFonts w:hint="eastAsia"/>
          <w:color w:val="auto"/>
          <w:kern w:val="0"/>
          <w:szCs w:val="20"/>
          <w:highlight w:val="none"/>
          <w:lang w:val="en-US" w:eastAsia="zh-CN"/>
        </w:rPr>
        <w:t>7</w:t>
      </w:r>
      <w:r>
        <w:rPr>
          <w:rFonts w:hint="eastAsia"/>
          <w:color w:val="auto"/>
          <w:kern w:val="0"/>
          <w:szCs w:val="20"/>
          <w:highlight w:val="none"/>
        </w:rPr>
        <w:t>）计算：</w:t>
      </w:r>
    </w:p>
    <w:p>
      <w:pPr>
        <w:widowControl/>
        <w:autoSpaceDE w:val="0"/>
        <w:autoSpaceDN w:val="0"/>
        <w:spacing w:line="240" w:lineRule="auto"/>
        <w:ind w:firstLine="420" w:firstLineChars="200"/>
        <w:jc w:val="right"/>
        <w:rPr>
          <w:rFonts w:hint="eastAsia" w:eastAsia="宋体"/>
          <w:color w:val="auto"/>
          <w:sz w:val="21"/>
          <w:szCs w:val="21"/>
          <w:highlight w:val="none"/>
          <w:lang w:eastAsia="zh-CN"/>
        </w:rPr>
      </w:pPr>
      <w:r>
        <w:rPr>
          <w:rFonts w:ascii="Times New Roman"/>
          <w:color w:val="auto"/>
          <w:position w:val="-30"/>
          <w:highlight w:val="none"/>
        </w:rPr>
        <w:object>
          <v:shape id="_x0000_i1031" o:spt="75" type="#_x0000_t75" style="height:39.75pt;width:175.55pt;" o:ole="t" filled="f" o:preferrelative="t" stroked="f" coordsize="21600,21600">
            <v:path/>
            <v:fill on="f" focussize="0,0"/>
            <v:stroke on="f"/>
            <v:imagedata r:id="rId25" o:title=""/>
            <o:lock v:ext="edit" aspectratio="t"/>
            <w10:wrap type="none"/>
            <w10:anchorlock/>
          </v:shape>
          <o:OLEObject Type="Embed" ProgID="Equation.3" ShapeID="_x0000_i1031" DrawAspect="Content" ObjectID="_1468075731" r:id="rId24">
            <o:LockedField>false</o:LockedField>
          </o:OLEObject>
        </w:objec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QUOTE </w:instrText>
      </w:r>
      <m:oMath>
        <m:sSub>
          <m:sSubPr>
            <m:ctrlPr>
              <w:rPr>
                <w:rFonts w:ascii="Cambria Math" w:hAnsi="Cambria Math"/>
                <w:i/>
                <w:color w:val="auto"/>
                <w:sz w:val="21"/>
                <w:szCs w:val="21"/>
                <w:highlight w:val="none"/>
              </w:rPr>
            </m:ctrlPr>
          </m:sSubPr>
          <m:e>
            <m:r>
              <m:rPr>
                <m:sty m:val="p"/>
              </m:rPr>
              <w:rPr>
                <w:rFonts w:ascii="Cambria Math" w:hAnsi="Cambria Math"/>
                <w:color w:val="auto"/>
                <w:sz w:val="21"/>
                <w:szCs w:val="21"/>
                <w:highlight w:val="none"/>
              </w:rPr>
              <m:t xml:space="preserve">ω</m:t>
            </m:r>
            <m:ctrlPr>
              <w:rPr>
                <w:rFonts w:ascii="Cambria Math" w:hAnsi="Cambria Math"/>
                <w:i/>
                <w:color w:val="auto"/>
                <w:sz w:val="21"/>
                <w:szCs w:val="21"/>
                <w:highlight w:val="none"/>
              </w:rPr>
            </m:ctrlPr>
          </m:e>
          <m:sub>
            <m:r>
              <m:rPr>
                <m:sty m:val="p"/>
              </m:rPr>
              <w:rPr>
                <w:rFonts w:ascii="Cambria Math" w:hAnsi="Cambria Math"/>
                <w:color w:val="auto"/>
                <w:sz w:val="21"/>
                <w:szCs w:val="21"/>
                <w:highlight w:val="none"/>
              </w:rPr>
              <m:t xml:space="preserve">NaOH</m:t>
            </m:r>
            <m:ctrlPr>
              <w:rPr>
                <w:rFonts w:ascii="Cambria Math" w:hAnsi="Cambria Math"/>
                <w:i/>
                <w:color w:val="auto"/>
                <w:sz w:val="21"/>
                <w:szCs w:val="21"/>
                <w:highlight w:val="none"/>
              </w:rPr>
            </m:ctrlPr>
          </m:sub>
        </m:sSub>
        <m:r>
          <m:rPr>
            <m:sty m:val="p"/>
          </m:rPr>
          <w:rPr>
            <w:rFonts w:ascii="Cambria Math" w:hAnsi="Cambria Math"/>
            <w:color w:val="auto"/>
            <w:sz w:val="21"/>
            <w:szCs w:val="21"/>
            <w:highlight w:val="none"/>
          </w:rPr>
          <m:t xml:space="preserve">=</m:t>
        </m:r>
        <m:f>
          <m:fPr>
            <m:ctrlPr>
              <w:rPr>
                <w:rFonts w:ascii="Cambria Math" w:hAnsi="Cambria Math"/>
                <w:color w:val="auto"/>
                <w:sz w:val="21"/>
                <w:szCs w:val="21"/>
                <w:highlight w:val="none"/>
              </w:rPr>
            </m:ctrlPr>
          </m:fPr>
          <m:num>
            <m:r>
              <m:rPr>
                <m:sty m:val="p"/>
              </m:rPr>
              <w:rPr>
                <w:rFonts w:ascii="Cambria Math" w:hAnsi="Cambria Math"/>
                <w:color w:val="auto"/>
                <w:sz w:val="21"/>
                <w:szCs w:val="21"/>
                <w:highlight w:val="none"/>
              </w:rPr>
              <m:t xml:space="preserve">c</m:t>
            </m:r>
            <m:r>
              <m:rPr>
                <m:sty m:val="p"/>
              </m:rPr>
              <w:rPr>
                <w:rFonts w:hint="eastAsia" w:ascii="Cambria Math" w:hAnsi="Cambria Math"/>
                <w:color w:val="auto"/>
                <w:sz w:val="21"/>
                <w:szCs w:val="21"/>
                <w:highlight w:val="none"/>
              </w:rPr>
              <m:t xml:space="preserve">（</m:t>
            </m:r>
            <m:sSub>
              <m:sSubPr>
                <m:ctrlPr>
                  <w:rPr>
                    <w:rFonts w:ascii="Cambria Math" w:hAnsi="Cambria Math"/>
                    <w:color w:val="auto"/>
                    <w:sz w:val="21"/>
                    <w:szCs w:val="21"/>
                    <w:highlight w:val="none"/>
                  </w:rPr>
                </m:ctrlPr>
              </m:sSubPr>
              <m:e>
                <m:r>
                  <m:rPr>
                    <m:sty m:val="p"/>
                  </m:rPr>
                  <w:rPr>
                    <w:rFonts w:ascii="Cambria Math" w:hAnsi="Cambria Math"/>
                    <w:color w:val="auto"/>
                    <w:sz w:val="21"/>
                    <w:szCs w:val="21"/>
                    <w:highlight w:val="none"/>
                  </w:rPr>
                  <m:t xml:space="preserve">2V</m:t>
                </m:r>
                <m:ctrlPr>
                  <w:rPr>
                    <w:rFonts w:ascii="Cambria Math" w:hAnsi="Cambria Math"/>
                    <w:color w:val="auto"/>
                    <w:sz w:val="21"/>
                    <w:szCs w:val="21"/>
                    <w:highlight w:val="none"/>
                  </w:rPr>
                </m:ctrlPr>
              </m:e>
              <m:sub>
                <m:r>
                  <m:rPr>
                    <m:sty m:val="p"/>
                  </m:rPr>
                  <w:rPr>
                    <w:rFonts w:ascii="Cambria Math" w:hAnsi="Cambria Math"/>
                    <w:color w:val="auto"/>
                    <w:sz w:val="21"/>
                    <w:szCs w:val="21"/>
                    <w:highlight w:val="none"/>
                  </w:rPr>
                  <m:t xml:space="preserve">1</m:t>
                </m:r>
                <m:ctrlPr>
                  <w:rPr>
                    <w:rFonts w:ascii="Cambria Math" w:hAnsi="Cambria Math"/>
                    <w:color w:val="auto"/>
                    <w:sz w:val="21"/>
                    <w:szCs w:val="21"/>
                    <w:highlight w:val="none"/>
                  </w:rPr>
                </m:ctrlPr>
              </m:sub>
            </m:sSub>
            <m:r>
              <m:rPr>
                <m:sty m:val="p"/>
              </m:rPr>
              <w:rPr>
                <w:rFonts w:ascii="Cambria Math" w:hAnsi="Cambria Math"/>
                <w:color w:val="auto"/>
                <w:sz w:val="21"/>
                <w:szCs w:val="21"/>
                <w:highlight w:val="none"/>
              </w:rPr>
              <m:t xml:space="preserve">−</m:t>
            </m:r>
            <m:sSub>
              <m:sSubPr>
                <m:ctrlPr>
                  <w:rPr>
                    <w:rFonts w:ascii="Cambria Math" w:hAnsi="Cambria Math"/>
                    <w:color w:val="auto"/>
                    <w:sz w:val="21"/>
                    <w:szCs w:val="21"/>
                    <w:highlight w:val="none"/>
                  </w:rPr>
                </m:ctrlPr>
              </m:sSubPr>
              <m:e>
                <m:r>
                  <m:rPr>
                    <m:sty m:val="p"/>
                  </m:rPr>
                  <w:rPr>
                    <w:rFonts w:ascii="Cambria Math" w:hAnsi="Cambria Math"/>
                    <w:color w:val="auto"/>
                    <w:sz w:val="21"/>
                    <w:szCs w:val="21"/>
                    <w:highlight w:val="none"/>
                  </w:rPr>
                  <m:t xml:space="preserve">V</m:t>
                </m:r>
                <m:ctrlPr>
                  <w:rPr>
                    <w:rFonts w:ascii="Cambria Math" w:hAnsi="Cambria Math"/>
                    <w:color w:val="auto"/>
                    <w:sz w:val="21"/>
                    <w:szCs w:val="21"/>
                    <w:highlight w:val="none"/>
                  </w:rPr>
                </m:ctrlPr>
              </m:e>
              <m:sub>
                <m:r>
                  <m:rPr>
                    <m:sty m:val="p"/>
                  </m:rPr>
                  <w:rPr>
                    <w:rFonts w:ascii="Cambria Math" w:hAnsi="Cambria Math"/>
                    <w:color w:val="auto"/>
                    <w:sz w:val="21"/>
                    <w:szCs w:val="21"/>
                    <w:highlight w:val="none"/>
                  </w:rPr>
                  <m:t xml:space="preserve">2</m:t>
                </m:r>
                <m:ctrlPr>
                  <w:rPr>
                    <w:rFonts w:ascii="Cambria Math" w:hAnsi="Cambria Math"/>
                    <w:color w:val="auto"/>
                    <w:sz w:val="21"/>
                    <w:szCs w:val="21"/>
                    <w:highlight w:val="none"/>
                  </w:rPr>
                </m:ctrlPr>
              </m:sub>
            </m:sSub>
            <m:r>
              <m:rPr>
                <m:sty m:val="p"/>
              </m:rPr>
              <w:rPr>
                <w:rFonts w:hint="eastAsia" w:ascii="Cambria Math" w:hAnsi="Cambria Math"/>
                <w:color w:val="auto"/>
                <w:sz w:val="21"/>
                <w:szCs w:val="21"/>
                <w:highlight w:val="none"/>
              </w:rPr>
              <m:t xml:space="preserve">）</m:t>
            </m:r>
            <m:r>
              <m:rPr>
                <m:sty m:val="p"/>
              </m:rPr>
              <w:rPr>
                <w:rFonts w:ascii="Cambria Math" w:hAnsi="Cambria Math"/>
                <w:color w:val="auto"/>
                <w:sz w:val="21"/>
                <w:szCs w:val="21"/>
                <w:highlight w:val="none"/>
              </w:rPr>
              <m:t xml:space="preserve">×</m:t>
            </m:r>
            <m:sSub>
              <m:sSubPr>
                <m:ctrlPr>
                  <w:rPr>
                    <w:rFonts w:ascii="Cambria Math" w:hAnsi="Cambria Math"/>
                    <w:color w:val="auto"/>
                    <w:sz w:val="21"/>
                    <w:szCs w:val="21"/>
                    <w:highlight w:val="none"/>
                  </w:rPr>
                </m:ctrlPr>
              </m:sSubPr>
              <m:e>
                <m:r>
                  <m:rPr>
                    <m:sty m:val="p"/>
                  </m:rPr>
                  <w:rPr>
                    <w:rFonts w:ascii="Cambria Math" w:hAnsi="Cambria Math"/>
                    <w:color w:val="auto"/>
                    <w:sz w:val="21"/>
                    <w:szCs w:val="21"/>
                    <w:highlight w:val="none"/>
                  </w:rPr>
                  <m:t xml:space="preserve">m</m:t>
                </m:r>
                <m:ctrlPr>
                  <w:rPr>
                    <w:rFonts w:ascii="Cambria Math" w:hAnsi="Cambria Math"/>
                    <w:color w:val="auto"/>
                    <w:sz w:val="21"/>
                    <w:szCs w:val="21"/>
                    <w:highlight w:val="none"/>
                  </w:rPr>
                </m:ctrlPr>
              </m:e>
              <m:sub>
                <m:r>
                  <m:rPr>
                    <m:sty m:val="p"/>
                  </m:rPr>
                  <w:rPr>
                    <w:rFonts w:ascii="Cambria Math" w:hAnsi="Cambria Math"/>
                    <w:color w:val="auto"/>
                    <w:sz w:val="21"/>
                    <w:szCs w:val="21"/>
                    <w:highlight w:val="none"/>
                  </w:rPr>
                  <m:t xml:space="preserve">2</m:t>
                </m:r>
                <m:ctrlPr>
                  <w:rPr>
                    <w:rFonts w:ascii="Cambria Math" w:hAnsi="Cambria Math"/>
                    <w:color w:val="auto"/>
                    <w:sz w:val="21"/>
                    <w:szCs w:val="21"/>
                    <w:highlight w:val="none"/>
                  </w:rPr>
                </m:ctrlPr>
              </m:sub>
            </m:sSub>
            <m:r>
              <m:rPr>
                <m:sty m:val="p"/>
              </m:rPr>
              <w:rPr>
                <w:rFonts w:ascii="Cambria Math" w:hAnsi="Cambria Math"/>
                <w:color w:val="auto"/>
                <w:sz w:val="21"/>
                <w:szCs w:val="21"/>
                <w:highlight w:val="none"/>
              </w:rPr>
              <m:t xml:space="preserve">×40.00</m:t>
            </m:r>
            <m:ctrlPr>
              <w:rPr>
                <w:rFonts w:ascii="Cambria Math" w:hAnsi="Cambria Math"/>
                <w:color w:val="auto"/>
                <w:sz w:val="21"/>
                <w:szCs w:val="21"/>
                <w:highlight w:val="none"/>
              </w:rPr>
            </m:ctrlPr>
          </m:num>
          <m:den>
            <m:sSub>
              <m:sSubPr>
                <m:ctrlPr>
                  <w:rPr>
                    <w:rFonts w:ascii="Cambria Math" w:hAnsi="Cambria Math"/>
                    <w:color w:val="auto"/>
                    <w:sz w:val="21"/>
                    <w:szCs w:val="21"/>
                    <w:highlight w:val="none"/>
                  </w:rPr>
                </m:ctrlPr>
              </m:sSubPr>
              <m:e>
                <m:r>
                  <m:rPr>
                    <m:sty m:val="p"/>
                  </m:rPr>
                  <w:rPr>
                    <w:rFonts w:ascii="Cambria Math" w:hAnsi="Cambria Math"/>
                    <w:color w:val="auto"/>
                    <w:sz w:val="21"/>
                    <w:szCs w:val="21"/>
                    <w:highlight w:val="none"/>
                  </w:rPr>
                  <m:t xml:space="preserve">m</m:t>
                </m:r>
                <m:ctrlPr>
                  <w:rPr>
                    <w:rFonts w:ascii="Cambria Math" w:hAnsi="Cambria Math"/>
                    <w:color w:val="auto"/>
                    <w:sz w:val="21"/>
                    <w:szCs w:val="21"/>
                    <w:highlight w:val="none"/>
                  </w:rPr>
                </m:ctrlPr>
              </m:e>
              <m:sub>
                <m:r>
                  <m:rPr>
                    <m:sty m:val="p"/>
                  </m:rPr>
                  <w:rPr>
                    <w:rFonts w:ascii="Cambria Math" w:hAnsi="Cambria Math"/>
                    <w:color w:val="auto"/>
                    <w:sz w:val="21"/>
                    <w:szCs w:val="21"/>
                    <w:highlight w:val="none"/>
                  </w:rPr>
                  <m:t xml:space="preserve">1</m:t>
                </m:r>
                <m:ctrlPr>
                  <w:rPr>
                    <w:rFonts w:ascii="Cambria Math" w:hAnsi="Cambria Math"/>
                    <w:color w:val="auto"/>
                    <w:sz w:val="21"/>
                    <w:szCs w:val="21"/>
                    <w:highlight w:val="none"/>
                  </w:rPr>
                </m:ctrlPr>
              </m:sub>
            </m:sSub>
            <m:r>
              <m:rPr>
                <m:sty m:val="p"/>
              </m:rPr>
              <w:rPr>
                <w:rFonts w:ascii="Cambria Math" w:hAnsi="Cambria Math"/>
                <w:color w:val="auto"/>
                <w:sz w:val="21"/>
                <w:szCs w:val="21"/>
                <w:highlight w:val="none"/>
              </w:rPr>
              <m:t xml:space="preserve">×</m:t>
            </m:r>
            <m:sSub>
              <m:sSubPr>
                <m:ctrlPr>
                  <w:rPr>
                    <w:rFonts w:ascii="Cambria Math" w:hAnsi="Cambria Math"/>
                    <w:i/>
                    <w:iCs/>
                    <w:color w:val="auto"/>
                    <w:sz w:val="21"/>
                    <w:szCs w:val="21"/>
                    <w:highlight w:val="none"/>
                  </w:rPr>
                </m:ctrlPr>
              </m:sSubPr>
              <m:e>
                <m:r>
                  <m:rPr>
                    <m:sty m:val="p"/>
                  </m:rPr>
                  <w:rPr>
                    <w:rFonts w:ascii="Cambria Math" w:hAnsi="Cambria Math"/>
                    <w:color w:val="auto"/>
                    <w:sz w:val="21"/>
                    <w:szCs w:val="21"/>
                    <w:highlight w:val="none"/>
                  </w:rPr>
                  <m:t xml:space="preserve">m</m:t>
                </m:r>
                <m:ctrlPr>
                  <w:rPr>
                    <w:rFonts w:ascii="Cambria Math" w:hAnsi="Cambria Math"/>
                    <w:i/>
                    <w:iCs/>
                    <w:color w:val="auto"/>
                    <w:sz w:val="21"/>
                    <w:szCs w:val="21"/>
                    <w:highlight w:val="none"/>
                  </w:rPr>
                </m:ctrlPr>
              </m:e>
              <m:sub>
                <m:r>
                  <m:rPr>
                    <m:sty m:val="p"/>
                  </m:rPr>
                  <w:rPr>
                    <w:rFonts w:ascii="Cambria Math" w:hAnsi="Cambria Math"/>
                    <w:color w:val="auto"/>
                    <w:sz w:val="21"/>
                    <w:szCs w:val="21"/>
                    <w:highlight w:val="none"/>
                  </w:rPr>
                  <m:t xml:space="preserve">3</m:t>
                </m:r>
                <m:ctrlPr>
                  <w:rPr>
                    <w:rFonts w:ascii="Cambria Math" w:hAnsi="Cambria Math"/>
                    <w:i/>
                    <w:iCs/>
                    <w:color w:val="auto"/>
                    <w:sz w:val="21"/>
                    <w:szCs w:val="21"/>
                    <w:highlight w:val="none"/>
                  </w:rPr>
                </m:ctrlPr>
              </m:sub>
            </m:sSub>
            <m:r>
              <m:rPr>
                <m:sty m:val="p"/>
              </m:rPr>
              <w:rPr>
                <w:rFonts w:ascii="Cambria Math" w:hAnsi="Cambria Math"/>
                <w:color w:val="auto"/>
                <w:sz w:val="21"/>
                <w:szCs w:val="21"/>
                <w:highlight w:val="none"/>
              </w:rPr>
              <m:t xml:space="preserve">×</m:t>
            </m:r>
            <m:sSup>
              <m:sSupPr>
                <m:ctrlPr>
                  <w:rPr>
                    <w:rFonts w:ascii="Cambria Math" w:hAnsi="Cambria Math"/>
                    <w:color w:val="auto"/>
                    <w:sz w:val="21"/>
                    <w:szCs w:val="21"/>
                    <w:highlight w:val="none"/>
                  </w:rPr>
                </m:ctrlPr>
              </m:sSupPr>
              <m:e>
                <m:r>
                  <m:rPr>
                    <m:sty m:val="p"/>
                  </m:rPr>
                  <w:rPr>
                    <w:rFonts w:ascii="Cambria Math" w:hAnsi="Cambria Math"/>
                    <w:color w:val="auto"/>
                    <w:sz w:val="21"/>
                    <w:szCs w:val="21"/>
                    <w:highlight w:val="none"/>
                  </w:rPr>
                  <m:t xml:space="preserve">10</m:t>
                </m:r>
                <m:ctrlPr>
                  <w:rPr>
                    <w:rFonts w:ascii="Cambria Math" w:hAnsi="Cambria Math"/>
                    <w:color w:val="auto"/>
                    <w:sz w:val="21"/>
                    <w:szCs w:val="21"/>
                    <w:highlight w:val="none"/>
                  </w:rPr>
                </m:ctrlPr>
              </m:e>
              <m:sup>
                <m:r>
                  <m:rPr>
                    <m:sty m:val="p"/>
                  </m:rPr>
                  <w:rPr>
                    <w:rFonts w:ascii="Cambria Math" w:hAnsi="Cambria Math"/>
                    <w:color w:val="auto"/>
                    <w:sz w:val="21"/>
                    <w:szCs w:val="21"/>
                    <w:highlight w:val="none"/>
                  </w:rPr>
                  <m:t xml:space="preserve">3</m:t>
                </m:r>
                <m:ctrlPr>
                  <w:rPr>
                    <w:rFonts w:ascii="Cambria Math" w:hAnsi="Cambria Math"/>
                    <w:color w:val="auto"/>
                    <w:sz w:val="21"/>
                    <w:szCs w:val="21"/>
                    <w:highlight w:val="none"/>
                  </w:rPr>
                </m:ctrlPr>
              </m:sup>
            </m:sSup>
            <m:ctrlPr>
              <w:rPr>
                <w:rFonts w:ascii="Cambria Math" w:hAnsi="Cambria Math"/>
                <w:color w:val="auto"/>
                <w:sz w:val="21"/>
                <w:szCs w:val="21"/>
                <w:highlight w:val="none"/>
              </w:rPr>
            </m:ctrlPr>
          </m:den>
        </m:f>
        <m:r>
          <m:rPr>
            <m:sty m:val="p"/>
          </m:rPr>
          <w:rPr>
            <w:rFonts w:ascii="Cambria Math" w:hAnsi="Cambria Math"/>
            <w:color w:val="auto"/>
            <w:sz w:val="21"/>
            <w:szCs w:val="21"/>
            <w:highlight w:val="none"/>
          </w:rPr>
          <m:t xml:space="preserve">×100%</m:t>
        </m:r>
      </m:oMath>
      <w:r>
        <w:rPr>
          <w:rFonts w:hint="eastAsia" w:ascii="宋体" w:hAnsi="宋体" w:cs="宋体"/>
          <w:color w:val="auto"/>
          <w:sz w:val="21"/>
          <w:szCs w:val="21"/>
          <w:highlight w:val="none"/>
        </w:rPr>
        <w:instrText xml:space="preserve"> </w:instrText>
      </w:r>
      <w:r>
        <w:rPr>
          <w:rFonts w:hint="eastAsia" w:ascii="宋体" w:hAnsi="宋体" w:cs="宋体"/>
          <w:color w:val="auto"/>
          <w:sz w:val="21"/>
          <w:szCs w:val="21"/>
          <w:highlight w:val="none"/>
        </w:rPr>
        <w:fldChar w:fldCharType="separate"/>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w:t>
      </w:r>
      <w:r>
        <w:rPr>
          <w:rFonts w:ascii="宋体" w:hAnsi="宋体" w:cs="宋体"/>
          <w:color w:val="auto"/>
          <w:sz w:val="21"/>
          <w:szCs w:val="21"/>
          <w:highlight w:val="none"/>
        </w:rPr>
        <w:t>…………</w:t>
      </w:r>
      <w:r>
        <w:rPr>
          <w:rFonts w:hint="eastAsia"/>
          <w:color w:val="auto"/>
          <w:sz w:val="21"/>
          <w:szCs w:val="21"/>
          <w:highlight w:val="none"/>
          <w:lang w:eastAsia="zh-CN"/>
        </w:rPr>
        <w:t>（</w:t>
      </w:r>
      <w:r>
        <w:rPr>
          <w:rFonts w:hint="eastAsia"/>
          <w:color w:val="auto"/>
          <w:sz w:val="21"/>
          <w:szCs w:val="21"/>
          <w:highlight w:val="none"/>
          <w:lang w:val="en-US" w:eastAsia="zh-CN"/>
        </w:rPr>
        <w:t>7</w:t>
      </w:r>
      <w:r>
        <w:rPr>
          <w:rFonts w:hint="eastAsia"/>
          <w:color w:val="auto"/>
          <w:sz w:val="21"/>
          <w:szCs w:val="21"/>
          <w:highlight w:val="none"/>
          <w:lang w:eastAsia="zh-CN"/>
        </w:rPr>
        <w:t>）</w:t>
      </w:r>
    </w:p>
    <w:p>
      <w:pPr>
        <w:widowControl/>
        <w:spacing w:before="156" w:beforeLines="50" w:after="156" w:afterLines="50" w:line="360" w:lineRule="exact"/>
        <w:ind w:firstLine="420"/>
        <w:outlineLvl w:val="3"/>
        <w:rPr>
          <w:color w:val="auto"/>
          <w:kern w:val="0"/>
          <w:szCs w:val="20"/>
          <w:highlight w:val="none"/>
        </w:rPr>
      </w:pPr>
      <w:r>
        <w:rPr>
          <w:rFonts w:hint="eastAsia"/>
          <w:color w:val="auto"/>
          <w:kern w:val="0"/>
          <w:szCs w:val="20"/>
          <w:highlight w:val="none"/>
        </w:rPr>
        <w:t>式中：</w:t>
      </w:r>
    </w:p>
    <w:p>
      <w:pPr>
        <w:widowControl/>
        <w:spacing w:line="360" w:lineRule="exact"/>
        <w:ind w:firstLine="420"/>
        <w:outlineLvl w:val="3"/>
        <w:rPr>
          <w:rFonts w:ascii="Times New Roman" w:hAnsi="Times New Roman"/>
          <w:color w:val="auto"/>
          <w:kern w:val="0"/>
          <w:szCs w:val="20"/>
          <w:highlight w:val="none"/>
        </w:rPr>
      </w:pPr>
      <w:r>
        <w:rPr>
          <w:rFonts w:hint="default" w:ascii="Times New Roman" w:hAnsi="Times New Roman"/>
          <w:i/>
          <w:iCs/>
          <w:color w:val="auto"/>
          <w:kern w:val="0"/>
          <w:szCs w:val="20"/>
          <w:highlight w:val="none"/>
        </w:rPr>
        <w:t>V</w:t>
      </w:r>
      <w:r>
        <w:rPr>
          <w:rFonts w:hint="default" w:ascii="Times New Roman" w:hAnsi="Times New Roman"/>
          <w:color w:val="auto"/>
          <w:kern w:val="0"/>
          <w:szCs w:val="20"/>
          <w:highlight w:val="none"/>
          <w:vertAlign w:val="subscript"/>
        </w:rPr>
        <w:t>3</w:t>
      </w:r>
      <w:r>
        <w:rPr>
          <w:rFonts w:ascii="Times New Roman" w:hAnsi="Times New Roman"/>
          <w:color w:val="auto"/>
          <w:kern w:val="0"/>
          <w:szCs w:val="20"/>
          <w:highlight w:val="none"/>
        </w:rPr>
        <w:t>——</w:t>
      </w:r>
      <w:r>
        <w:rPr>
          <w:rFonts w:hint="default" w:ascii="Times New Roman" w:hAnsi="Times New Roman"/>
          <w:color w:val="auto"/>
          <w:kern w:val="0"/>
          <w:szCs w:val="20"/>
          <w:highlight w:val="none"/>
        </w:rPr>
        <w:t>滴定至第一个变色点时所消耗的盐酸标准滴定溶液的体积的数值，单位为毫升（mL）；</w:t>
      </w:r>
    </w:p>
    <w:p>
      <w:pPr>
        <w:widowControl/>
        <w:spacing w:line="360" w:lineRule="exact"/>
        <w:ind w:firstLine="420"/>
        <w:outlineLvl w:val="3"/>
        <w:rPr>
          <w:rFonts w:ascii="Times New Roman" w:hAnsi="Times New Roman"/>
          <w:color w:val="auto"/>
          <w:kern w:val="0"/>
          <w:szCs w:val="20"/>
          <w:highlight w:val="none"/>
        </w:rPr>
      </w:pPr>
      <w:r>
        <w:rPr>
          <w:rFonts w:hint="default" w:ascii="Times New Roman" w:hAnsi="Times New Roman"/>
          <w:i/>
          <w:iCs/>
          <w:color w:val="auto"/>
          <w:kern w:val="0"/>
          <w:szCs w:val="20"/>
          <w:highlight w:val="none"/>
        </w:rPr>
        <w:t>V</w:t>
      </w:r>
      <w:r>
        <w:rPr>
          <w:rFonts w:hint="default" w:ascii="Times New Roman" w:hAnsi="Times New Roman"/>
          <w:color w:val="auto"/>
          <w:kern w:val="0"/>
          <w:szCs w:val="20"/>
          <w:highlight w:val="none"/>
          <w:vertAlign w:val="subscript"/>
        </w:rPr>
        <w:t>4</w:t>
      </w:r>
      <w:r>
        <w:rPr>
          <w:rFonts w:ascii="Times New Roman" w:hAnsi="Times New Roman"/>
          <w:color w:val="auto"/>
          <w:kern w:val="0"/>
          <w:szCs w:val="20"/>
          <w:highlight w:val="none"/>
        </w:rPr>
        <w:t>——</w:t>
      </w:r>
      <w:r>
        <w:rPr>
          <w:rFonts w:hint="default" w:ascii="Times New Roman" w:hAnsi="Times New Roman"/>
          <w:color w:val="auto"/>
          <w:kern w:val="0"/>
          <w:szCs w:val="20"/>
          <w:highlight w:val="none"/>
        </w:rPr>
        <w:t>滴定至第二个变色点时所消耗的盐酸标准滴定溶液的体积的数值，单位为毫升（mL）；</w:t>
      </w:r>
    </w:p>
    <w:p>
      <w:pPr>
        <w:widowControl/>
        <w:spacing w:line="360" w:lineRule="exact"/>
        <w:ind w:firstLine="420"/>
        <w:outlineLvl w:val="3"/>
        <w:rPr>
          <w:rFonts w:ascii="Times New Roman" w:hAnsi="Times New Roman"/>
          <w:color w:val="auto"/>
          <w:kern w:val="0"/>
          <w:szCs w:val="20"/>
          <w:highlight w:val="none"/>
        </w:rPr>
      </w:pPr>
      <w:r>
        <w:rPr>
          <w:rFonts w:hint="default" w:ascii="Times New Roman" w:hAnsi="Times New Roman"/>
          <w:i/>
          <w:iCs/>
          <w:color w:val="auto"/>
          <w:kern w:val="0"/>
          <w:szCs w:val="20"/>
          <w:highlight w:val="none"/>
        </w:rPr>
        <w:t>c</w:t>
      </w:r>
      <w:r>
        <w:rPr>
          <w:rFonts w:ascii="Times New Roman" w:hAnsi="Times New Roman"/>
          <w:color w:val="auto"/>
          <w:kern w:val="0"/>
          <w:szCs w:val="20"/>
          <w:highlight w:val="none"/>
        </w:rPr>
        <w:t>——</w:t>
      </w:r>
      <w:r>
        <w:rPr>
          <w:rFonts w:hint="default" w:ascii="Times New Roman" w:hAnsi="Times New Roman"/>
          <w:color w:val="auto"/>
          <w:kern w:val="0"/>
          <w:szCs w:val="20"/>
          <w:highlight w:val="none"/>
        </w:rPr>
        <w:t>盐酸标准滴定溶液</w:t>
      </w:r>
      <w:r>
        <w:rPr>
          <w:rFonts w:hint="default" w:ascii="Times New Roman" w:hAnsi="Times New Roman"/>
          <w:color w:val="auto"/>
          <w:kern w:val="0"/>
          <w:szCs w:val="20"/>
          <w:highlight w:val="none"/>
          <w:lang w:eastAsia="zh-CN"/>
        </w:rPr>
        <w:t>（</w:t>
      </w:r>
      <w:r>
        <w:rPr>
          <w:rFonts w:hint="default" w:ascii="Times New Roman" w:hAnsi="Times New Roman"/>
          <w:color w:val="auto"/>
          <w:kern w:val="0"/>
          <w:szCs w:val="20"/>
          <w:highlight w:val="none"/>
          <w:lang w:val="en-US" w:eastAsia="zh-CN"/>
        </w:rPr>
        <w:t>6.5.2.2</w:t>
      </w:r>
      <w:r>
        <w:rPr>
          <w:rFonts w:hint="default" w:ascii="Times New Roman" w:hAnsi="Times New Roman"/>
          <w:color w:val="auto"/>
          <w:kern w:val="0"/>
          <w:szCs w:val="20"/>
          <w:highlight w:val="none"/>
          <w:lang w:eastAsia="zh-CN"/>
        </w:rPr>
        <w:t>）</w:t>
      </w:r>
      <w:r>
        <w:rPr>
          <w:rFonts w:hint="default" w:ascii="Times New Roman" w:hAnsi="Times New Roman"/>
          <w:color w:val="auto"/>
          <w:kern w:val="0"/>
          <w:szCs w:val="20"/>
          <w:highlight w:val="none"/>
        </w:rPr>
        <w:t>浓度的准确数值，单位为摩尔每升（mol/L）；</w:t>
      </w:r>
    </w:p>
    <w:p>
      <w:pPr>
        <w:widowControl/>
        <w:spacing w:line="360" w:lineRule="exact"/>
        <w:ind w:firstLine="420"/>
        <w:outlineLvl w:val="3"/>
        <w:rPr>
          <w:rFonts w:ascii="Times New Roman" w:hAnsi="Times New Roman"/>
          <w:color w:val="auto"/>
          <w:kern w:val="0"/>
          <w:szCs w:val="20"/>
          <w:highlight w:val="none"/>
        </w:rPr>
      </w:pPr>
      <w:r>
        <w:rPr>
          <w:rFonts w:hint="default" w:ascii="Times New Roman" w:hAnsi="Times New Roman"/>
          <w:i/>
          <w:iCs/>
          <w:color w:val="auto"/>
          <w:kern w:val="0"/>
          <w:szCs w:val="20"/>
          <w:highlight w:val="none"/>
        </w:rPr>
        <w:t>M</w:t>
      </w:r>
      <w:r>
        <w:rPr>
          <w:rFonts w:ascii="Times New Roman" w:hAnsi="Times New Roman"/>
          <w:color w:val="auto"/>
          <w:kern w:val="0"/>
          <w:szCs w:val="20"/>
          <w:highlight w:val="none"/>
        </w:rPr>
        <w:t>——</w:t>
      </w:r>
      <w:r>
        <w:rPr>
          <w:rFonts w:hint="default" w:ascii="Times New Roman" w:hAnsi="Times New Roman"/>
          <w:color w:val="auto"/>
          <w:kern w:val="0"/>
          <w:szCs w:val="20"/>
          <w:highlight w:val="none"/>
        </w:rPr>
        <w:t>氢氧化钠（</w:t>
      </w:r>
      <w:r>
        <w:rPr>
          <w:rFonts w:ascii="Times New Roman" w:hAnsi="Times New Roman"/>
          <w:color w:val="auto"/>
          <w:kern w:val="0"/>
          <w:szCs w:val="20"/>
          <w:highlight w:val="none"/>
        </w:rPr>
        <w:t>Na</w:t>
      </w:r>
      <w:r>
        <w:rPr>
          <w:rFonts w:hint="default" w:ascii="Times New Roman" w:hAnsi="Times New Roman"/>
          <w:color w:val="auto"/>
          <w:kern w:val="0"/>
          <w:szCs w:val="20"/>
          <w:highlight w:val="none"/>
        </w:rPr>
        <w:t>OH）摩尔质量的数值，单位为克每摩尔（g/mol）</w:t>
      </w:r>
      <w:r>
        <w:rPr>
          <w:rFonts w:hint="default" w:ascii="Times New Roman" w:hAnsi="Times New Roman"/>
          <w:color w:val="auto"/>
          <w:highlight w:val="none"/>
        </w:rPr>
        <w:t>（</w:t>
      </w:r>
      <w:r>
        <w:rPr>
          <w:rFonts w:ascii="Times New Roman" w:hAnsi="Times New Roman"/>
          <w:i/>
          <w:iCs/>
          <w:color w:val="auto"/>
          <w:highlight w:val="none"/>
        </w:rPr>
        <w:t>M</w:t>
      </w:r>
      <w:r>
        <w:rPr>
          <w:rFonts w:ascii="Times New Roman" w:hAnsi="Times New Roman"/>
          <w:color w:val="auto"/>
          <w:highlight w:val="none"/>
        </w:rPr>
        <w:t>=</w:t>
      </w:r>
      <w:r>
        <w:rPr>
          <w:rFonts w:hint="default" w:ascii="Times New Roman" w:hAnsi="Times New Roman"/>
          <w:color w:val="auto"/>
          <w:highlight w:val="none"/>
        </w:rPr>
        <w:t>40.00）</w:t>
      </w:r>
      <w:r>
        <w:rPr>
          <w:rFonts w:hint="default" w:ascii="Times New Roman" w:hAnsi="Times New Roman"/>
          <w:color w:val="auto"/>
          <w:kern w:val="0"/>
          <w:szCs w:val="20"/>
          <w:highlight w:val="none"/>
        </w:rPr>
        <w:t>；</w:t>
      </w:r>
    </w:p>
    <w:p>
      <w:pPr>
        <w:widowControl/>
        <w:spacing w:line="360" w:lineRule="exact"/>
        <w:ind w:firstLine="420"/>
        <w:outlineLvl w:val="3"/>
        <w:rPr>
          <w:rFonts w:ascii="Times New Roman" w:hAnsi="Times New Roman"/>
          <w:color w:val="auto"/>
          <w:kern w:val="0"/>
          <w:szCs w:val="20"/>
          <w:highlight w:val="none"/>
        </w:rPr>
      </w:pPr>
      <w:r>
        <w:rPr>
          <w:rFonts w:hint="default" w:ascii="Times New Roman" w:hAnsi="Times New Roman"/>
          <w:i/>
          <w:iCs/>
          <w:color w:val="auto"/>
          <w:kern w:val="0"/>
          <w:szCs w:val="20"/>
          <w:highlight w:val="none"/>
        </w:rPr>
        <w:t>m</w:t>
      </w:r>
      <w:r>
        <w:rPr>
          <w:rFonts w:ascii="Times New Roman" w:hAnsi="Times New Roman"/>
          <w:color w:val="auto"/>
          <w:kern w:val="0"/>
          <w:szCs w:val="20"/>
          <w:highlight w:val="none"/>
        </w:rPr>
        <w:t>——</w:t>
      </w:r>
      <w:r>
        <w:rPr>
          <w:rFonts w:hint="default" w:ascii="Times New Roman" w:hAnsi="Times New Roman"/>
          <w:color w:val="auto"/>
          <w:kern w:val="0"/>
          <w:szCs w:val="20"/>
          <w:highlight w:val="none"/>
        </w:rPr>
        <w:t>试料的质量的数值，单位为克（g）。</w:t>
      </w:r>
    </w:p>
    <w:p>
      <w:pPr>
        <w:adjustRightInd w:val="0"/>
        <w:spacing w:line="400" w:lineRule="exact"/>
        <w:ind w:firstLine="420" w:firstLineChars="200"/>
        <w:rPr>
          <w:rFonts w:ascii="Calibri" w:hAnsi="Calibri"/>
          <w:color w:val="auto"/>
          <w:szCs w:val="20"/>
          <w:highlight w:val="none"/>
          <w14:ligatures w14:val="none"/>
        </w:rPr>
      </w:pPr>
      <w:r>
        <w:rPr>
          <w:rFonts w:ascii="Calibri" w:hAnsi="宋体"/>
          <w:color w:val="auto"/>
          <w:szCs w:val="20"/>
          <w:highlight w:val="none"/>
          <w14:ligatures w14:val="none"/>
        </w:rPr>
        <w:t>试验结果以平行测定结果的算术平均值为测定结果。</w:t>
      </w:r>
      <w:r>
        <w:rPr>
          <w:rFonts w:hint="eastAsia"/>
          <w:bCs/>
          <w:color w:val="auto"/>
          <w:szCs w:val="21"/>
          <w:highlight w:val="none"/>
          <w14:ligatures w14:val="none"/>
        </w:rPr>
        <w:t>两次平行测定结果的绝对差值与算术平均值之比不大于20%。</w:t>
      </w:r>
    </w:p>
    <w:p>
      <w:pPr>
        <w:widowControl/>
        <w:numPr>
          <w:ilvl w:val="4"/>
          <w:numId w:val="2"/>
        </w:numPr>
        <w:adjustRightInd/>
        <w:spacing w:line="360" w:lineRule="exact"/>
        <w:outlineLvl w:val="3"/>
        <w:rPr>
          <w:rFonts w:hint="eastAsia" w:ascii="黑体" w:hAnsi="黑体" w:eastAsia="黑体" w:cs="黑体"/>
          <w:color w:val="auto"/>
          <w:kern w:val="0"/>
          <w:szCs w:val="20"/>
          <w:highlight w:val="none"/>
        </w:rPr>
      </w:pPr>
      <w:r>
        <w:rPr>
          <w:rFonts w:hint="eastAsia" w:ascii="黑体" w:hAnsi="黑体" w:eastAsia="黑体" w:cs="黑体"/>
          <w:color w:val="auto"/>
          <w:kern w:val="0"/>
          <w:szCs w:val="20"/>
          <w:highlight w:val="none"/>
        </w:rPr>
        <w:t>残余钠含量的计算</w:t>
      </w:r>
    </w:p>
    <w:p>
      <w:pPr>
        <w:pStyle w:val="18"/>
        <w:spacing w:line="400" w:lineRule="exact"/>
        <w:ind w:firstLine="420" w:firstLineChars="200"/>
        <w:rPr>
          <w:rFonts w:hint="eastAsia"/>
          <w:color w:val="auto"/>
          <w:highlight w:val="none"/>
        </w:rPr>
      </w:pPr>
      <w:r>
        <w:rPr>
          <w:rFonts w:hint="eastAsia"/>
          <w:color w:val="auto"/>
          <w:highlight w:val="none"/>
        </w:rPr>
        <w:t>残余钠含量以钠（Na）的质量分数</w:t>
      </w:r>
      <w:r>
        <w:rPr>
          <w:rFonts w:hint="eastAsia"/>
          <w:i/>
          <w:iCs/>
          <w:color w:val="auto"/>
          <w:highlight w:val="none"/>
        </w:rPr>
        <w:t>w</w:t>
      </w:r>
      <w:r>
        <w:rPr>
          <w:rFonts w:hint="eastAsia"/>
          <w:color w:val="auto"/>
          <w:highlight w:val="none"/>
          <w:vertAlign w:val="subscript"/>
        </w:rPr>
        <w:t>rs</w:t>
      </w:r>
      <w:r>
        <w:rPr>
          <w:rFonts w:hint="eastAsia"/>
          <w:color w:val="auto"/>
          <w:highlight w:val="none"/>
        </w:rPr>
        <w:t>计，按公式（</w:t>
      </w:r>
      <w:r>
        <w:rPr>
          <w:rFonts w:hint="eastAsia"/>
          <w:color w:val="auto"/>
          <w:highlight w:val="none"/>
          <w:lang w:val="en-US" w:eastAsia="zh-CN"/>
        </w:rPr>
        <w:t>8</w:t>
      </w:r>
      <w:r>
        <w:rPr>
          <w:rFonts w:hint="eastAsia"/>
          <w:color w:val="auto"/>
          <w:highlight w:val="none"/>
        </w:rPr>
        <w:t>）计算：</w:t>
      </w:r>
    </w:p>
    <w:p>
      <w:pPr>
        <w:pStyle w:val="18"/>
        <w:spacing w:line="240" w:lineRule="auto"/>
        <w:ind w:firstLine="420" w:firstLineChars="200"/>
        <w:jc w:val="right"/>
        <w:rPr>
          <w:color w:val="auto"/>
          <w:szCs w:val="21"/>
          <w:highlight w:val="none"/>
        </w:rPr>
      </w:pPr>
      <w:r>
        <w:rPr>
          <w:color w:val="auto"/>
          <w:position w:val="-14"/>
          <w:highlight w:val="none"/>
        </w:rPr>
        <w:object>
          <v:shape id="_x0000_i1032" o:spt="75" type="#_x0000_t75" style="height:19.8pt;width:187.95pt;" o:ole="t" filled="f" o:preferrelative="t" stroked="f" coordsize="21600,21600">
            <v:path/>
            <v:fill on="f" focussize="0,0"/>
            <v:stroke on="f"/>
            <v:imagedata r:id="rId27" o:title=""/>
            <o:lock v:ext="edit" aspectratio="t"/>
            <w10:wrap type="none"/>
            <w10:anchorlock/>
          </v:shape>
          <o:OLEObject Type="Embed" ProgID="Equation.3" ShapeID="_x0000_i1032" DrawAspect="Content" ObjectID="_1468075732" r:id="rId26">
            <o:LockedField>false</o:LockedField>
          </o:OLEObject>
        </w:object>
      </w:r>
      <w:bookmarkStart w:id="46" w:name="_Hlk189722838"/>
      <w:r>
        <w:rPr>
          <w:rFonts w:ascii="宋体" w:hAnsi="宋体"/>
          <w:color w:val="auto"/>
          <w:szCs w:val="21"/>
          <w:highlight w:val="none"/>
        </w:rPr>
        <w:fldChar w:fldCharType="begin"/>
      </w:r>
      <w:r>
        <w:rPr>
          <w:rFonts w:ascii="宋体" w:hAnsi="宋体"/>
          <w:color w:val="auto"/>
          <w:szCs w:val="21"/>
          <w:highlight w:val="none"/>
        </w:rPr>
        <w:instrText xml:space="preserve"> QUOTE </w:instrText>
      </w:r>
      <m:oMath>
        <m:sSub>
          <m:sSubPr>
            <m:ctrlPr>
              <w:rPr>
                <w:rFonts w:ascii="Cambria Math" w:hAnsi="Cambria Math"/>
                <w:i/>
                <w:color w:val="auto"/>
                <w:szCs w:val="21"/>
                <w:highlight w:val="none"/>
              </w:rPr>
            </m:ctrlPr>
          </m:sSubPr>
          <m:e>
            <m:r>
              <m:rPr>
                <m:sty m:val="p"/>
              </m:rPr>
              <w:rPr>
                <w:rFonts w:ascii="Cambria Math" w:hAnsi="Cambria Math"/>
                <w:color w:val="auto"/>
                <w:szCs w:val="21"/>
                <w:highlight w:val="none"/>
              </w:rPr>
              <m:t xml:space="preserve">ω</m:t>
            </m:r>
            <m:ctrlPr>
              <w:rPr>
                <w:rFonts w:ascii="Cambria Math" w:hAnsi="Cambria Math"/>
                <w:i/>
                <w:color w:val="auto"/>
                <w:szCs w:val="21"/>
                <w:highlight w:val="none"/>
              </w:rPr>
            </m:ctrlPr>
          </m:e>
          <m:sub>
            <m:r>
              <m:rPr>
                <m:sty m:val="p"/>
              </m:rPr>
              <w:rPr>
                <w:rFonts w:ascii="Cambria Math" w:hAnsi="Cambria Math"/>
                <w:color w:val="auto"/>
                <w:szCs w:val="21"/>
                <w:highlight w:val="none"/>
              </w:rPr>
              <m:t xml:space="preserve">rs</m:t>
            </m:r>
            <m:ctrlPr>
              <w:rPr>
                <w:rFonts w:ascii="Cambria Math" w:hAnsi="Cambria Math"/>
                <w:i/>
                <w:color w:val="auto"/>
                <w:szCs w:val="21"/>
                <w:highlight w:val="none"/>
              </w:rPr>
            </m:ctrlPr>
          </m:sub>
        </m:sSub>
        <m:r>
          <m:rPr>
            <m:sty m:val="p"/>
          </m:rPr>
          <w:rPr>
            <w:rFonts w:ascii="Cambria Math" w:hAnsi="Cambria Math"/>
            <w:color w:val="auto"/>
            <w:szCs w:val="21"/>
            <w:highlight w:val="none"/>
          </w:rPr>
          <m:t xml:space="preserve">=0.44×</m:t>
        </m:r>
        <m:d>
          <m:dPr>
            <m:ctrlPr>
              <w:rPr>
                <w:rFonts w:ascii="Cambria Math" w:hAnsi="Cambria Math"/>
                <w:i/>
                <w:color w:val="auto"/>
                <w:szCs w:val="21"/>
                <w:highlight w:val="none"/>
              </w:rPr>
            </m:ctrlPr>
          </m:dPr>
          <m:e>
            <m:r>
              <m:rPr>
                <m:sty m:val="p"/>
              </m:rPr>
              <w:rPr>
                <w:rFonts w:ascii="Cambria Math" w:hAnsi="Cambria Math"/>
                <w:color w:val="auto"/>
                <w:szCs w:val="21"/>
                <w:highlight w:val="none"/>
              </w:rPr>
              <m:t xml:space="preserve">1.325×</m:t>
            </m:r>
            <m:sSub>
              <m:sSubPr>
                <m:ctrlPr>
                  <w:rPr>
                    <w:rFonts w:ascii="Cambria Math" w:hAnsi="Cambria Math"/>
                    <w:i/>
                    <w:color w:val="auto"/>
                    <w:szCs w:val="21"/>
                    <w:highlight w:val="none"/>
                  </w:rPr>
                </m:ctrlPr>
              </m:sSubPr>
              <m:e>
                <m:r>
                  <m:rPr>
                    <m:sty m:val="p"/>
                  </m:rPr>
                  <w:rPr>
                    <w:rFonts w:ascii="Cambria Math" w:hAnsi="Cambria Math"/>
                    <w:color w:val="auto"/>
                    <w:szCs w:val="21"/>
                    <w:highlight w:val="none"/>
                  </w:rPr>
                  <m:t xml:space="preserve">ω</m:t>
                </m:r>
                <m:ctrlPr>
                  <w:rPr>
                    <w:rFonts w:ascii="Cambria Math" w:hAnsi="Cambria Math"/>
                    <w:i/>
                    <w:color w:val="auto"/>
                    <w:szCs w:val="21"/>
                    <w:highlight w:val="none"/>
                  </w:rPr>
                </m:ctrlPr>
              </m:e>
              <m:sub>
                <m:r>
                  <m:rPr>
                    <m:sty m:val="p"/>
                  </m:rPr>
                  <w:rPr>
                    <w:rFonts w:ascii="Cambria Math" w:hAnsi="Cambria Math"/>
                    <w:color w:val="auto"/>
                    <w:szCs w:val="21"/>
                    <w:highlight w:val="none"/>
                  </w:rPr>
                  <m:t xml:space="preserve">NaOH</m:t>
                </m:r>
                <m:ctrlPr>
                  <w:rPr>
                    <w:rFonts w:ascii="Cambria Math" w:hAnsi="Cambria Math"/>
                    <w:i/>
                    <w:color w:val="auto"/>
                    <w:szCs w:val="21"/>
                    <w:highlight w:val="none"/>
                  </w:rPr>
                </m:ctrlPr>
              </m:sub>
            </m:sSub>
            <m:r>
              <m:rPr>
                <m:sty m:val="p"/>
              </m:rPr>
              <w:rPr>
                <w:rFonts w:ascii="Cambria Math" w:hAnsi="Cambria Math"/>
                <w:color w:val="auto"/>
                <w:szCs w:val="21"/>
                <w:highlight w:val="none"/>
              </w:rPr>
              <m:t xml:space="preserve">+</m:t>
            </m:r>
            <m:sSub>
              <m:sSubPr>
                <m:ctrlPr>
                  <w:rPr>
                    <w:rFonts w:ascii="Cambria Math" w:hAnsi="Cambria Math"/>
                    <w:i/>
                    <w:color w:val="auto"/>
                    <w:szCs w:val="21"/>
                    <w:highlight w:val="none"/>
                  </w:rPr>
                </m:ctrlPr>
              </m:sSubPr>
              <m:e>
                <m:r>
                  <m:rPr>
                    <m:sty m:val="p"/>
                  </m:rPr>
                  <w:rPr>
                    <w:rFonts w:ascii="Cambria Math" w:hAnsi="Cambria Math"/>
                    <w:color w:val="auto"/>
                    <w:szCs w:val="21"/>
                    <w:highlight w:val="none"/>
                  </w:rPr>
                  <m:t xml:space="preserve">ω</m:t>
                </m:r>
                <m:ctrlPr>
                  <w:rPr>
                    <w:rFonts w:ascii="Cambria Math" w:hAnsi="Cambria Math"/>
                    <w:i/>
                    <w:color w:val="auto"/>
                    <w:szCs w:val="21"/>
                    <w:highlight w:val="none"/>
                  </w:rPr>
                </m:ctrlPr>
              </m:e>
              <m:sub>
                <m:sSub>
                  <m:sSubPr>
                    <m:ctrlPr>
                      <w:rPr>
                        <w:rFonts w:ascii="Cambria Math" w:hAnsi="Cambria Math"/>
                        <w:i/>
                        <w:color w:val="auto"/>
                        <w:szCs w:val="21"/>
                        <w:highlight w:val="none"/>
                      </w:rPr>
                    </m:ctrlPr>
                  </m:sSubPr>
                  <m:e>
                    <m:r>
                      <m:rPr>
                        <m:sty m:val="p"/>
                      </m:rPr>
                      <w:rPr>
                        <w:rFonts w:ascii="Cambria Math" w:hAnsi="Cambria Math"/>
                        <w:color w:val="auto"/>
                        <w:szCs w:val="21"/>
                        <w:highlight w:val="none"/>
                      </w:rPr>
                      <m:t xml:space="preserve">Na</m:t>
                    </m:r>
                    <m:ctrlPr>
                      <w:rPr>
                        <w:rFonts w:ascii="Cambria Math" w:hAnsi="Cambria Math"/>
                        <w:i/>
                        <w:color w:val="auto"/>
                        <w:szCs w:val="21"/>
                        <w:highlight w:val="none"/>
                      </w:rPr>
                    </m:ctrlPr>
                  </m:e>
                  <m:sub>
                    <m:r>
                      <m:rPr>
                        <m:sty m:val="p"/>
                      </m:rPr>
                      <w:rPr>
                        <w:rFonts w:ascii="Cambria Math" w:hAnsi="Cambria Math"/>
                        <w:color w:val="auto"/>
                        <w:szCs w:val="21"/>
                        <w:highlight w:val="none"/>
                      </w:rPr>
                      <m:t xml:space="preserve">2</m:t>
                    </m:r>
                    <m:ctrlPr>
                      <w:rPr>
                        <w:rFonts w:ascii="Cambria Math" w:hAnsi="Cambria Math"/>
                        <w:i/>
                        <w:color w:val="auto"/>
                        <w:szCs w:val="21"/>
                        <w:highlight w:val="none"/>
                      </w:rPr>
                    </m:ctrlPr>
                  </m:sub>
                </m:sSub>
                <m:r>
                  <m:rPr>
                    <m:sty m:val="p"/>
                  </m:rPr>
                  <w:rPr>
                    <w:rFonts w:ascii="Cambria Math" w:hAnsi="Cambria Math"/>
                    <w:color w:val="auto"/>
                    <w:szCs w:val="21"/>
                    <w:highlight w:val="none"/>
                  </w:rPr>
                  <m:t xml:space="preserve">C</m:t>
                </m:r>
                <m:sSub>
                  <m:sSubPr>
                    <m:ctrlPr>
                      <w:rPr>
                        <w:rFonts w:ascii="Cambria Math" w:hAnsi="Cambria Math"/>
                        <w:i/>
                        <w:color w:val="auto"/>
                        <w:szCs w:val="21"/>
                        <w:highlight w:val="none"/>
                      </w:rPr>
                    </m:ctrlPr>
                  </m:sSubPr>
                  <m:e>
                    <m:r>
                      <m:rPr>
                        <m:sty m:val="p"/>
                      </m:rPr>
                      <w:rPr>
                        <w:rFonts w:ascii="Cambria Math" w:hAnsi="Cambria Math"/>
                        <w:color w:val="auto"/>
                        <w:szCs w:val="21"/>
                        <w:highlight w:val="none"/>
                      </w:rPr>
                      <m:t xml:space="preserve">O</m:t>
                    </m:r>
                    <m:ctrlPr>
                      <w:rPr>
                        <w:rFonts w:ascii="Cambria Math" w:hAnsi="Cambria Math"/>
                        <w:i/>
                        <w:color w:val="auto"/>
                        <w:szCs w:val="21"/>
                        <w:highlight w:val="none"/>
                      </w:rPr>
                    </m:ctrlPr>
                  </m:e>
                  <m:sub>
                    <m:r>
                      <m:rPr>
                        <m:sty m:val="p"/>
                      </m:rPr>
                      <w:rPr>
                        <w:rFonts w:ascii="Cambria Math" w:hAnsi="Cambria Math"/>
                        <w:color w:val="auto"/>
                        <w:szCs w:val="21"/>
                        <w:highlight w:val="none"/>
                      </w:rPr>
                      <m:t xml:space="preserve">3</m:t>
                    </m:r>
                    <m:ctrlPr>
                      <w:rPr>
                        <w:rFonts w:ascii="Cambria Math" w:hAnsi="Cambria Math"/>
                        <w:i/>
                        <w:color w:val="auto"/>
                        <w:szCs w:val="21"/>
                        <w:highlight w:val="none"/>
                      </w:rPr>
                    </m:ctrlPr>
                  </m:sub>
                </m:sSub>
                <m:ctrlPr>
                  <w:rPr>
                    <w:rFonts w:ascii="Cambria Math" w:hAnsi="Cambria Math"/>
                    <w:i/>
                    <w:color w:val="auto"/>
                    <w:szCs w:val="21"/>
                    <w:highlight w:val="none"/>
                  </w:rPr>
                </m:ctrlPr>
              </m:sub>
            </m:sSub>
            <m:ctrlPr>
              <w:rPr>
                <w:rFonts w:ascii="Cambria Math" w:hAnsi="Cambria Math"/>
                <w:i/>
                <w:color w:val="auto"/>
                <w:szCs w:val="21"/>
                <w:highlight w:val="none"/>
              </w:rPr>
            </m:ctrlPr>
          </m:e>
        </m:d>
      </m:oMath>
      <w:r>
        <w:rPr>
          <w:rFonts w:ascii="宋体" w:hAnsi="宋体"/>
          <w:color w:val="auto"/>
          <w:szCs w:val="21"/>
          <w:highlight w:val="none"/>
        </w:rPr>
        <w:instrText xml:space="preserve"> </w:instrText>
      </w:r>
      <w:r>
        <w:rPr>
          <w:rFonts w:hint="eastAsia" w:ascii="宋体" w:hAnsi="宋体"/>
          <w:color w:val="auto"/>
          <w:szCs w:val="21"/>
          <w:highlight w:val="none"/>
        </w:rPr>
        <w:fldChar w:fldCharType="separate"/>
      </w:r>
      <w:r>
        <w:rPr>
          <w:rFonts w:ascii="宋体" w:hAnsi="宋体"/>
          <w:color w:val="auto"/>
          <w:szCs w:val="21"/>
          <w:highlight w:val="none"/>
        </w:rPr>
        <w:fldChar w:fldCharType="end"/>
      </w:r>
      <w:bookmarkEnd w:id="46"/>
      <w:r>
        <w:rPr>
          <w:rFonts w:ascii="宋体" w:hAnsi="宋体"/>
          <w:color w:val="auto"/>
          <w:szCs w:val="21"/>
          <w:highlight w:val="none"/>
        </w:rPr>
        <w:t>…………………………</w:t>
      </w:r>
      <w:r>
        <w:rPr>
          <w:rFonts w:hint="eastAsia" w:ascii="宋体" w:hAnsi="宋体"/>
          <w:color w:val="auto"/>
          <w:szCs w:val="21"/>
          <w:highlight w:val="none"/>
          <w:lang w:eastAsia="zh-CN"/>
        </w:rPr>
        <w:t>（</w:t>
      </w:r>
      <w:r>
        <w:rPr>
          <w:rFonts w:hint="default" w:ascii="Times New Roman" w:hAnsi="Times New Roman" w:cs="Times New Roman"/>
          <w:color w:val="auto"/>
          <w:szCs w:val="21"/>
          <w:highlight w:val="none"/>
          <w:lang w:val="en-US" w:eastAsia="zh-CN"/>
        </w:rPr>
        <w:t>8</w:t>
      </w:r>
      <w:r>
        <w:rPr>
          <w:rFonts w:hint="eastAsia" w:ascii="宋体" w:hAnsi="宋体"/>
          <w:color w:val="auto"/>
          <w:szCs w:val="21"/>
          <w:highlight w:val="none"/>
          <w:lang w:eastAsia="zh-CN"/>
        </w:rPr>
        <w:t>）</w:t>
      </w:r>
    </w:p>
    <w:p>
      <w:pPr>
        <w:adjustRightInd w:val="0"/>
        <w:snapToGrid w:val="0"/>
        <w:spacing w:line="360" w:lineRule="exact"/>
        <w:ind w:firstLine="420" w:firstLineChars="200"/>
        <w:rPr>
          <w:color w:val="auto"/>
          <w:kern w:val="0"/>
          <w:szCs w:val="21"/>
          <w:highlight w:val="none"/>
        </w:rPr>
      </w:pPr>
      <w:r>
        <w:rPr>
          <w:rFonts w:hint="eastAsia"/>
          <w:color w:val="auto"/>
          <w:kern w:val="0"/>
          <w:szCs w:val="21"/>
          <w:highlight w:val="none"/>
        </w:rPr>
        <w:t>式中：</w:t>
      </w:r>
    </w:p>
    <w:p>
      <w:pPr>
        <w:widowControl/>
        <w:autoSpaceDE w:val="0"/>
        <w:autoSpaceDN w:val="0"/>
        <w:spacing w:line="360" w:lineRule="exact"/>
        <w:ind w:firstLine="420" w:firstLineChars="200"/>
        <w:rPr>
          <w:rFonts w:ascii="Times New Roman" w:hAnsi="Times New Roman"/>
          <w:color w:val="auto"/>
          <w:kern w:val="0"/>
          <w:szCs w:val="20"/>
          <w:highlight w:val="none"/>
        </w:rPr>
      </w:pPr>
      <w:r>
        <w:rPr>
          <w:rFonts w:ascii="Times New Roman" w:hAnsi="Times New Roman"/>
          <w:color w:val="auto"/>
          <w:kern w:val="0"/>
          <w:szCs w:val="20"/>
          <w:highlight w:val="none"/>
        </w:rPr>
        <w:t>0.4</w:t>
      </w:r>
      <w:r>
        <w:rPr>
          <w:rFonts w:hint="default" w:ascii="Times New Roman" w:hAnsi="Times New Roman"/>
          <w:color w:val="auto"/>
          <w:kern w:val="0"/>
          <w:szCs w:val="20"/>
          <w:highlight w:val="none"/>
        </w:rPr>
        <w:t>338</w:t>
      </w:r>
      <w:r>
        <w:rPr>
          <w:rFonts w:ascii="Times New Roman" w:hAnsi="Times New Roman"/>
          <w:color w:val="auto"/>
          <w:kern w:val="0"/>
          <w:szCs w:val="20"/>
          <w:highlight w:val="none"/>
        </w:rPr>
        <w:t xml:space="preserve">  </w:t>
      </w:r>
      <w:r>
        <w:rPr>
          <w:rFonts w:hint="default" w:ascii="Times New Roman" w:hAnsi="Times New Roman"/>
          <w:i/>
          <w:color w:val="auto"/>
          <w:szCs w:val="21"/>
          <w:highlight w:val="none"/>
        </w:rPr>
        <w:t>——</w:t>
      </w:r>
      <w:r>
        <w:rPr>
          <w:rFonts w:hint="default" w:ascii="Times New Roman" w:hAnsi="Times New Roman"/>
          <w:iCs/>
          <w:color w:val="auto"/>
          <w:szCs w:val="21"/>
          <w:highlight w:val="none"/>
        </w:rPr>
        <w:t>碳酸钠换算为钠的系数</w:t>
      </w:r>
      <w:r>
        <w:rPr>
          <w:rFonts w:hint="default" w:ascii="Times New Roman" w:hAnsi="Times New Roman"/>
          <w:color w:val="auto"/>
          <w:kern w:val="0"/>
          <w:szCs w:val="20"/>
          <w:highlight w:val="none"/>
        </w:rPr>
        <w:t>；</w:t>
      </w:r>
    </w:p>
    <w:p>
      <w:pPr>
        <w:widowControl/>
        <w:autoSpaceDE w:val="0"/>
        <w:autoSpaceDN w:val="0"/>
        <w:spacing w:line="360" w:lineRule="exact"/>
        <w:ind w:firstLine="420" w:firstLineChars="200"/>
        <w:rPr>
          <w:rFonts w:ascii="Times New Roman" w:hAnsi="Times New Roman"/>
          <w:color w:val="auto"/>
          <w:kern w:val="0"/>
          <w:szCs w:val="20"/>
          <w:highlight w:val="none"/>
        </w:rPr>
      </w:pPr>
      <w:r>
        <w:rPr>
          <w:rFonts w:ascii="Times New Roman" w:hAnsi="Times New Roman"/>
          <w:color w:val="auto"/>
          <w:kern w:val="0"/>
          <w:szCs w:val="20"/>
          <w:highlight w:val="none"/>
        </w:rPr>
        <w:t xml:space="preserve">1.325   </w:t>
      </w:r>
      <w:r>
        <w:rPr>
          <w:rFonts w:hint="default" w:ascii="Times New Roman" w:hAnsi="Times New Roman"/>
          <w:i/>
          <w:color w:val="auto"/>
          <w:szCs w:val="21"/>
          <w:highlight w:val="none"/>
        </w:rPr>
        <w:t>——</w:t>
      </w:r>
      <w:r>
        <w:rPr>
          <w:rFonts w:hint="default" w:ascii="Times New Roman" w:hAnsi="Times New Roman"/>
          <w:color w:val="auto"/>
          <w:kern w:val="0"/>
          <w:szCs w:val="20"/>
          <w:highlight w:val="none"/>
        </w:rPr>
        <w:t>氢氧化钠换算为碳酸钠的系数；</w:t>
      </w:r>
    </w:p>
    <w:p>
      <w:pPr>
        <w:widowControl/>
        <w:autoSpaceDE w:val="0"/>
        <w:autoSpaceDN w:val="0"/>
        <w:spacing w:line="360" w:lineRule="exact"/>
        <w:ind w:firstLine="420" w:firstLineChars="200"/>
        <w:rPr>
          <w:rFonts w:ascii="Times New Roman" w:hAnsi="Times New Roman"/>
          <w:iCs/>
          <w:color w:val="auto"/>
          <w:szCs w:val="21"/>
          <w:highlight w:val="none"/>
        </w:rPr>
      </w:pPr>
      <m:oMath>
        <m:sSub>
          <m:sSubPr>
            <m:ctrlPr>
              <w:rPr>
                <w:rFonts w:ascii="Cambria Math" w:hAnsi="Cambria Math"/>
                <w:i/>
                <w:color w:val="auto"/>
                <w:szCs w:val="21"/>
                <w:highlight w:val="none"/>
              </w:rPr>
            </m:ctrlPr>
          </m:sSubPr>
          <m:e>
            <m:r>
              <m:rPr/>
              <w:rPr>
                <w:rFonts w:ascii="Cambria Math" w:hAnsi="Cambria Math"/>
                <w:color w:val="auto"/>
                <w:kern w:val="0"/>
                <w:szCs w:val="20"/>
                <w:highlight w:val="none"/>
              </w:rPr>
              <m:t>ω</m:t>
            </m:r>
            <m:ctrlPr>
              <w:rPr>
                <w:rFonts w:ascii="Cambria Math" w:hAnsi="Cambria Math"/>
                <w:i/>
                <w:color w:val="auto"/>
                <w:szCs w:val="21"/>
                <w:highlight w:val="none"/>
              </w:rPr>
            </m:ctrlPr>
          </m:e>
          <m:sub>
            <m:r>
              <m:rPr>
                <m:sty m:val="p"/>
              </m:rPr>
              <w:rPr>
                <w:rFonts w:ascii="Cambria Math" w:hAnsi="Cambria Math"/>
                <w:color w:val="auto"/>
                <w:kern w:val="0"/>
                <w:szCs w:val="20"/>
                <w:highlight w:val="none"/>
              </w:rPr>
              <m:t>NaOH</m:t>
            </m:r>
            <m:ctrlPr>
              <w:rPr>
                <w:rFonts w:ascii="Cambria Math" w:hAnsi="Cambria Math"/>
                <w:i/>
                <w:color w:val="auto"/>
                <w:szCs w:val="21"/>
                <w:highlight w:val="none"/>
              </w:rPr>
            </m:ctrlPr>
          </m:sub>
        </m:sSub>
      </m:oMath>
      <w:r>
        <w:rPr>
          <w:rFonts w:ascii="Times New Roman" w:hAnsi="Times New Roman"/>
          <w:i/>
          <w:color w:val="auto"/>
          <w:szCs w:val="21"/>
          <w:highlight w:val="none"/>
        </w:rPr>
        <w:t xml:space="preserve">  </w:t>
      </w:r>
      <w:r>
        <w:rPr>
          <w:rFonts w:hint="default" w:ascii="Times New Roman" w:hAnsi="Times New Roman"/>
          <w:i/>
          <w:color w:val="auto"/>
          <w:szCs w:val="21"/>
          <w:highlight w:val="none"/>
        </w:rPr>
        <w:t>——</w:t>
      </w:r>
      <w:r>
        <w:rPr>
          <w:rFonts w:hint="default" w:ascii="Times New Roman" w:hAnsi="Times New Roman"/>
          <w:iCs/>
          <w:color w:val="auto"/>
          <w:szCs w:val="21"/>
          <w:highlight w:val="none"/>
        </w:rPr>
        <w:t>残余氢氧化钠质量分数；</w:t>
      </w:r>
    </w:p>
    <w:p>
      <w:pPr>
        <w:widowControl/>
        <w:autoSpaceDE w:val="0"/>
        <w:autoSpaceDN w:val="0"/>
        <w:spacing w:line="360" w:lineRule="exact"/>
        <w:ind w:firstLine="420" w:firstLineChars="200"/>
        <w:rPr>
          <w:rFonts w:ascii="Times New Roman" w:hAnsi="Times New Roman"/>
          <w:iCs/>
          <w:color w:val="auto"/>
          <w:szCs w:val="21"/>
          <w:highlight w:val="none"/>
        </w:rPr>
      </w:pPr>
      <m:oMath>
        <m:sSub>
          <m:sSubPr>
            <m:ctrlPr>
              <w:rPr>
                <w:rFonts w:ascii="Cambria Math" w:hAnsi="Cambria Math"/>
                <w:i/>
                <w:color w:val="auto"/>
                <w:szCs w:val="21"/>
                <w:highlight w:val="none"/>
              </w:rPr>
            </m:ctrlPr>
          </m:sSubPr>
          <m:e>
            <m:r>
              <m:rPr/>
              <w:rPr>
                <w:rFonts w:ascii="Cambria Math" w:hAnsi="Cambria Math"/>
                <w:color w:val="auto"/>
                <w:kern w:val="0"/>
                <w:szCs w:val="20"/>
                <w:highlight w:val="none"/>
              </w:rPr>
              <m:t>ω</m:t>
            </m:r>
            <m:ctrlPr>
              <w:rPr>
                <w:rFonts w:ascii="Cambria Math" w:hAnsi="Cambria Math"/>
                <w:i/>
                <w:color w:val="auto"/>
                <w:szCs w:val="21"/>
                <w:highlight w:val="none"/>
              </w:rPr>
            </m:ctrlPr>
          </m:e>
          <m:sub>
            <m:sSub>
              <m:sSubPr>
                <m:ctrlPr>
                  <w:rPr>
                    <w:rFonts w:ascii="Cambria Math" w:hAnsi="Cambria Math"/>
                    <w:iCs/>
                    <w:color w:val="auto"/>
                    <w:szCs w:val="21"/>
                    <w:highlight w:val="none"/>
                  </w:rPr>
                </m:ctrlPr>
              </m:sSubPr>
              <m:e>
                <m:r>
                  <m:rPr>
                    <m:sty m:val="p"/>
                  </m:rPr>
                  <w:rPr>
                    <w:rFonts w:ascii="Cambria Math" w:hAnsi="Cambria Math"/>
                    <w:color w:val="auto"/>
                    <w:kern w:val="0"/>
                    <w:szCs w:val="20"/>
                    <w:highlight w:val="none"/>
                  </w:rPr>
                  <m:t>Na</m:t>
                </m:r>
                <m:ctrlPr>
                  <w:rPr>
                    <w:rFonts w:ascii="Cambria Math" w:hAnsi="Cambria Math"/>
                    <w:iCs/>
                    <w:color w:val="auto"/>
                    <w:szCs w:val="21"/>
                    <w:highlight w:val="none"/>
                  </w:rPr>
                </m:ctrlPr>
              </m:e>
              <m:sub>
                <m:r>
                  <m:rPr>
                    <m:sty m:val="p"/>
                  </m:rPr>
                  <w:rPr>
                    <w:rFonts w:ascii="Cambria Math" w:hAnsi="Cambria Math"/>
                    <w:color w:val="auto"/>
                    <w:kern w:val="0"/>
                    <w:szCs w:val="20"/>
                    <w:highlight w:val="none"/>
                  </w:rPr>
                  <m:t>2</m:t>
                </m:r>
                <m:ctrlPr>
                  <w:rPr>
                    <w:rFonts w:ascii="Cambria Math" w:hAnsi="Cambria Math"/>
                    <w:iCs/>
                    <w:color w:val="auto"/>
                    <w:szCs w:val="21"/>
                    <w:highlight w:val="none"/>
                  </w:rPr>
                </m:ctrlPr>
              </m:sub>
            </m:sSub>
            <m:r>
              <m:rPr>
                <m:sty m:val="p"/>
              </m:rPr>
              <w:rPr>
                <w:rFonts w:ascii="Cambria Math" w:hAnsi="Cambria Math"/>
                <w:color w:val="auto"/>
                <w:kern w:val="0"/>
                <w:szCs w:val="20"/>
                <w:highlight w:val="none"/>
              </w:rPr>
              <m:t>C</m:t>
            </m:r>
            <m:sSub>
              <m:sSubPr>
                <m:ctrlPr>
                  <w:rPr>
                    <w:rFonts w:ascii="Cambria Math" w:hAnsi="Cambria Math"/>
                    <w:iCs/>
                    <w:color w:val="auto"/>
                    <w:szCs w:val="21"/>
                    <w:highlight w:val="none"/>
                  </w:rPr>
                </m:ctrlPr>
              </m:sSubPr>
              <m:e>
                <m:r>
                  <m:rPr>
                    <m:sty m:val="p"/>
                  </m:rPr>
                  <w:rPr>
                    <w:rFonts w:ascii="Cambria Math" w:hAnsi="Cambria Math"/>
                    <w:color w:val="auto"/>
                    <w:kern w:val="0"/>
                    <w:szCs w:val="20"/>
                    <w:highlight w:val="none"/>
                  </w:rPr>
                  <m:t>O</m:t>
                </m:r>
                <m:ctrlPr>
                  <w:rPr>
                    <w:rFonts w:ascii="Cambria Math" w:hAnsi="Cambria Math"/>
                    <w:iCs/>
                    <w:color w:val="auto"/>
                    <w:szCs w:val="21"/>
                    <w:highlight w:val="none"/>
                  </w:rPr>
                </m:ctrlPr>
              </m:e>
              <m:sub>
                <m:r>
                  <m:rPr>
                    <m:sty m:val="p"/>
                  </m:rPr>
                  <w:rPr>
                    <w:rFonts w:ascii="Cambria Math" w:hAnsi="Cambria Math"/>
                    <w:color w:val="auto"/>
                    <w:kern w:val="0"/>
                    <w:szCs w:val="20"/>
                    <w:highlight w:val="none"/>
                  </w:rPr>
                  <m:t>3</m:t>
                </m:r>
                <m:ctrlPr>
                  <w:rPr>
                    <w:rFonts w:ascii="Cambria Math" w:hAnsi="Cambria Math"/>
                    <w:iCs/>
                    <w:color w:val="auto"/>
                    <w:szCs w:val="21"/>
                    <w:highlight w:val="none"/>
                  </w:rPr>
                </m:ctrlPr>
              </m:sub>
            </m:sSub>
            <m:ctrlPr>
              <w:rPr>
                <w:rFonts w:ascii="Cambria Math" w:hAnsi="Cambria Math"/>
                <w:i/>
                <w:color w:val="auto"/>
                <w:szCs w:val="21"/>
                <w:highlight w:val="none"/>
              </w:rPr>
            </m:ctrlPr>
          </m:sub>
        </m:sSub>
      </m:oMath>
      <w:r>
        <w:rPr>
          <w:rFonts w:hint="default" w:ascii="Times New Roman" w:hAnsi="Times New Roman"/>
          <w:i/>
          <w:color w:val="auto"/>
          <w:szCs w:val="21"/>
          <w:highlight w:val="none"/>
        </w:rPr>
        <w:t xml:space="preserve"> </w:t>
      </w:r>
      <w:r>
        <w:rPr>
          <w:rFonts w:ascii="Times New Roman" w:hAnsi="Times New Roman"/>
          <w:i/>
          <w:color w:val="auto"/>
          <w:szCs w:val="21"/>
          <w:highlight w:val="none"/>
        </w:rPr>
        <w:t>——</w:t>
      </w:r>
      <w:r>
        <w:rPr>
          <w:rFonts w:hint="default" w:ascii="Times New Roman" w:hAnsi="Times New Roman"/>
          <w:iCs/>
          <w:color w:val="auto"/>
          <w:szCs w:val="21"/>
          <w:highlight w:val="none"/>
        </w:rPr>
        <w:t>残余碳酸钠质量分数。</w:t>
      </w:r>
    </w:p>
    <w:bookmarkEnd w:id="42"/>
    <w:p>
      <w:pPr>
        <w:pStyle w:val="111"/>
        <w:spacing w:before="120" w:after="120"/>
        <w:rPr>
          <w:rFonts w:ascii="Times New Roman"/>
          <w:color w:val="auto"/>
          <w:highlight w:val="none"/>
        </w:rPr>
      </w:pPr>
      <w:r>
        <w:rPr>
          <w:rFonts w:hint="eastAsia" w:ascii="Times New Roman"/>
          <w:color w:val="auto"/>
          <w:highlight w:val="none"/>
        </w:rPr>
        <w:t>磁性异物</w:t>
      </w:r>
      <w:r>
        <w:rPr>
          <w:rFonts w:hint="eastAsia" w:ascii="Times New Roman"/>
          <w:color w:val="auto"/>
          <w:highlight w:val="none"/>
          <w:lang w:val="en-US" w:eastAsia="zh-CN"/>
        </w:rPr>
        <w:t>的测定</w:t>
      </w:r>
    </w:p>
    <w:p>
      <w:pPr>
        <w:pStyle w:val="71"/>
        <w:spacing w:before="120" w:after="120" w:line="360" w:lineRule="exact"/>
        <w:ind w:left="0"/>
        <w:rPr>
          <w:rFonts w:hint="eastAsia"/>
          <w:color w:val="auto"/>
          <w:highlight w:val="none"/>
          <w:lang w:val="en-US" w:eastAsia="zh-CN"/>
        </w:rPr>
      </w:pPr>
      <w:r>
        <w:rPr>
          <w:rFonts w:hint="eastAsia"/>
          <w:color w:val="auto"/>
          <w:highlight w:val="none"/>
          <w:lang w:val="en-US" w:eastAsia="zh-CN"/>
        </w:rPr>
        <w:t>原理</w:t>
      </w:r>
    </w:p>
    <w:p>
      <w:pPr>
        <w:pStyle w:val="62"/>
        <w:rPr>
          <w:rFonts w:hint="default" w:ascii="Times New Roman" w:eastAsia="宋体"/>
          <w:color w:val="auto"/>
          <w:highlight w:val="none"/>
          <w:lang w:val="en-US" w:eastAsia="zh-CN"/>
        </w:rPr>
      </w:pPr>
      <w:r>
        <w:rPr>
          <w:rFonts w:hint="eastAsia" w:ascii="Times New Roman"/>
          <w:color w:val="auto"/>
          <w:highlight w:val="none"/>
          <w:lang w:val="en-US" w:eastAsia="zh-CN"/>
        </w:rPr>
        <w:t>同GB/T 41704—2022中4.1.1。</w:t>
      </w:r>
    </w:p>
    <w:p>
      <w:pPr>
        <w:pStyle w:val="71"/>
        <w:spacing w:before="120" w:after="120" w:line="360" w:lineRule="exact"/>
        <w:ind w:left="0"/>
        <w:rPr>
          <w:rFonts w:hint="eastAsia"/>
          <w:color w:val="auto"/>
          <w:highlight w:val="none"/>
          <w:lang w:val="en-US" w:eastAsia="zh-CN"/>
        </w:rPr>
      </w:pPr>
      <w:r>
        <w:rPr>
          <w:rFonts w:hint="eastAsia"/>
          <w:color w:val="auto"/>
          <w:highlight w:val="none"/>
          <w:lang w:val="en-US" w:eastAsia="zh-CN"/>
        </w:rPr>
        <w:t>试剂或材料</w:t>
      </w:r>
    </w:p>
    <w:p>
      <w:pPr>
        <w:widowControl/>
        <w:numPr>
          <w:ilvl w:val="4"/>
          <w:numId w:val="2"/>
        </w:numPr>
        <w:adjustRightInd/>
        <w:spacing w:beforeLines="50" w:afterLines="50" w:line="360" w:lineRule="exact"/>
        <w:outlineLvl w:val="3"/>
        <w:rPr>
          <w:rFonts w:hint="default" w:ascii="Times New Roman" w:hAnsi="Times New Roman" w:eastAsia="宋体" w:cs="Times New Roman"/>
          <w:color w:val="auto"/>
          <w:kern w:val="0"/>
          <w:szCs w:val="20"/>
          <w:highlight w:val="none"/>
          <w:lang w:val="en-US" w:eastAsia="zh-CN"/>
        </w:rPr>
      </w:pPr>
      <w:r>
        <w:rPr>
          <w:rFonts w:hint="default" w:ascii="Times New Roman" w:hAnsi="Times New Roman" w:eastAsia="宋体" w:cs="Times New Roman"/>
          <w:color w:val="auto"/>
          <w:kern w:val="0"/>
          <w:szCs w:val="20"/>
          <w:highlight w:val="none"/>
          <w:lang w:val="en-US" w:eastAsia="zh-CN"/>
        </w:rPr>
        <w:t>钠</w:t>
      </w:r>
      <w:r>
        <w:rPr>
          <w:rFonts w:hint="default" w:ascii="Times New Roman" w:hAnsi="Times New Roman" w:cs="Times New Roman"/>
          <w:color w:val="auto"/>
          <w:kern w:val="0"/>
          <w:szCs w:val="20"/>
          <w:highlight w:val="none"/>
          <w:lang w:val="en-US" w:eastAsia="zh-CN"/>
        </w:rPr>
        <w:t>标准溶液A：1</w:t>
      </w:r>
      <w:r>
        <w:rPr>
          <w:rFonts w:hint="eastAsia" w:ascii="Times New Roman" w:hAnsi="Times New Roman" w:cs="Times New Roman"/>
          <w:color w:val="auto"/>
          <w:kern w:val="0"/>
          <w:szCs w:val="20"/>
          <w:highlight w:val="none"/>
          <w:lang w:val="en-US" w:eastAsia="zh-CN"/>
        </w:rPr>
        <w:t xml:space="preserve"> </w:t>
      </w:r>
      <w:r>
        <w:rPr>
          <w:rFonts w:hint="default" w:ascii="Times New Roman" w:hAnsi="Times New Roman" w:cs="Times New Roman"/>
          <w:color w:val="auto"/>
          <w:kern w:val="0"/>
          <w:szCs w:val="20"/>
          <w:highlight w:val="none"/>
          <w:lang w:val="en-US" w:eastAsia="zh-CN"/>
        </w:rPr>
        <w:t>mL溶液含钠（Na）0.0</w:t>
      </w:r>
      <w:r>
        <w:rPr>
          <w:rFonts w:hint="eastAsia" w:ascii="Times New Roman" w:hAnsi="Times New Roman" w:cs="Times New Roman"/>
          <w:color w:val="auto"/>
          <w:kern w:val="0"/>
          <w:szCs w:val="20"/>
          <w:highlight w:val="none"/>
          <w:lang w:val="en-US" w:eastAsia="zh-CN"/>
        </w:rPr>
        <w:t xml:space="preserve">1 </w:t>
      </w:r>
      <w:r>
        <w:rPr>
          <w:rFonts w:hint="default" w:ascii="Times New Roman" w:hAnsi="Times New Roman" w:cs="Times New Roman"/>
          <w:color w:val="auto"/>
          <w:kern w:val="0"/>
          <w:szCs w:val="20"/>
          <w:highlight w:val="none"/>
          <w:lang w:val="en-US" w:eastAsia="zh-CN"/>
        </w:rPr>
        <w:t>mg。</w:t>
      </w:r>
    </w:p>
    <w:p>
      <w:pPr>
        <w:widowControl/>
        <w:adjustRightInd/>
        <w:spacing w:line="360" w:lineRule="exact"/>
        <w:ind w:firstLine="420" w:firstLineChars="200"/>
        <w:outlineLvl w:val="3"/>
        <w:rPr>
          <w:rFonts w:ascii="Times New Roman" w:hAnsi="Times New Roman"/>
          <w:color w:val="auto"/>
          <w:kern w:val="0"/>
          <w:szCs w:val="20"/>
          <w:highlight w:val="none"/>
        </w:rPr>
      </w:pPr>
      <w:r>
        <w:rPr>
          <w:rFonts w:ascii="Times New Roman" w:hAnsi="Times New Roman"/>
          <w:color w:val="auto"/>
          <w:kern w:val="0"/>
          <w:szCs w:val="20"/>
          <w:highlight w:val="none"/>
        </w:rPr>
        <w:t>移取10.00 mL</w:t>
      </w:r>
      <w:r>
        <w:rPr>
          <w:rFonts w:hint="eastAsia" w:ascii="Times New Roman" w:hAnsi="Times New Roman"/>
          <w:color w:val="auto"/>
          <w:kern w:val="0"/>
          <w:szCs w:val="20"/>
          <w:highlight w:val="none"/>
        </w:rPr>
        <w:t>按</w:t>
      </w:r>
      <w:r>
        <w:rPr>
          <w:rFonts w:hint="eastAsia" w:ascii="Times New Roman" w:hAnsi="Times New Roman"/>
          <w:color w:val="auto"/>
          <w:highlight w:val="none"/>
          <w:lang w:val="en-US" w:eastAsia="zh-CN"/>
        </w:rPr>
        <w:t>6.3.2.2</w:t>
      </w:r>
      <w:r>
        <w:rPr>
          <w:rFonts w:hint="eastAsia" w:ascii="Times New Roman" w:hAnsi="Times New Roman"/>
          <w:color w:val="auto"/>
          <w:highlight w:val="none"/>
        </w:rPr>
        <w:t>配制（或市售）</w:t>
      </w:r>
      <w:r>
        <w:rPr>
          <w:rFonts w:hint="eastAsia" w:ascii="Times New Roman" w:hAnsi="Times New Roman"/>
          <w:color w:val="auto"/>
          <w:kern w:val="0"/>
          <w:szCs w:val="20"/>
          <w:highlight w:val="none"/>
        </w:rPr>
        <w:t>钠</w:t>
      </w:r>
      <w:r>
        <w:rPr>
          <w:rFonts w:ascii="Times New Roman" w:hAnsi="Times New Roman"/>
          <w:color w:val="auto"/>
          <w:kern w:val="0"/>
          <w:szCs w:val="20"/>
          <w:highlight w:val="none"/>
        </w:rPr>
        <w:t>标准溶液（</w:t>
      </w:r>
      <w:r>
        <w:rPr>
          <w:rFonts w:hint="eastAsia" w:ascii="Times New Roman" w:hAnsi="Times New Roman"/>
          <w:color w:val="auto"/>
          <w:kern w:val="0"/>
          <w:szCs w:val="20"/>
          <w:highlight w:val="none"/>
          <w:lang w:val="en-US" w:eastAsia="zh-CN"/>
        </w:rPr>
        <w:t>0.</w:t>
      </w:r>
      <w:r>
        <w:rPr>
          <w:rFonts w:hint="eastAsia" w:ascii="Times New Roman" w:hAnsi="Times New Roman"/>
          <w:color w:val="auto"/>
          <w:kern w:val="0"/>
          <w:szCs w:val="20"/>
          <w:highlight w:val="none"/>
        </w:rPr>
        <w:t>1 mg/mL</w:t>
      </w:r>
      <w:r>
        <w:rPr>
          <w:rFonts w:ascii="Times New Roman" w:hAnsi="Times New Roman"/>
          <w:color w:val="auto"/>
          <w:kern w:val="0"/>
          <w:szCs w:val="20"/>
          <w:highlight w:val="none"/>
        </w:rPr>
        <w:t>），置于100 mL容量瓶中，用水稀释至刻度，</w:t>
      </w:r>
      <w:r>
        <w:rPr>
          <w:rFonts w:hint="eastAsia" w:ascii="Times New Roman" w:hAnsi="Times New Roman"/>
          <w:color w:val="auto"/>
          <w:kern w:val="0"/>
          <w:szCs w:val="20"/>
          <w:highlight w:val="none"/>
        </w:rPr>
        <w:t>摇</w:t>
      </w:r>
      <w:r>
        <w:rPr>
          <w:rFonts w:ascii="Times New Roman" w:hAnsi="Times New Roman"/>
          <w:color w:val="auto"/>
          <w:kern w:val="0"/>
          <w:szCs w:val="20"/>
          <w:highlight w:val="none"/>
        </w:rPr>
        <w:t>匀。</w:t>
      </w:r>
    </w:p>
    <w:p>
      <w:pPr>
        <w:widowControl/>
        <w:numPr>
          <w:ilvl w:val="4"/>
          <w:numId w:val="2"/>
        </w:numPr>
        <w:adjustRightInd/>
        <w:spacing w:beforeLines="50" w:afterLines="50" w:line="360" w:lineRule="exact"/>
        <w:outlineLvl w:val="3"/>
        <w:rPr>
          <w:rFonts w:hint="default" w:ascii="Times New Roman" w:hAnsi="Times New Roman" w:eastAsia="宋体" w:cs="Times New Roman"/>
          <w:color w:val="auto"/>
          <w:kern w:val="0"/>
          <w:szCs w:val="20"/>
          <w:highlight w:val="none"/>
          <w:lang w:val="en-US" w:eastAsia="zh-CN"/>
        </w:rPr>
      </w:pPr>
      <w:r>
        <w:rPr>
          <w:rFonts w:hint="default" w:ascii="Times New Roman" w:hAnsi="Times New Roman" w:eastAsia="宋体" w:cs="Times New Roman"/>
          <w:color w:val="auto"/>
          <w:kern w:val="0"/>
          <w:szCs w:val="20"/>
          <w:highlight w:val="none"/>
          <w:lang w:val="en-US" w:eastAsia="zh-CN"/>
        </w:rPr>
        <w:t>钠</w:t>
      </w:r>
      <w:r>
        <w:rPr>
          <w:rFonts w:hint="default" w:ascii="Times New Roman" w:hAnsi="Times New Roman" w:cs="Times New Roman"/>
          <w:color w:val="auto"/>
          <w:kern w:val="0"/>
          <w:szCs w:val="20"/>
          <w:highlight w:val="none"/>
          <w:lang w:val="en-US" w:eastAsia="zh-CN"/>
        </w:rPr>
        <w:t>标准溶液</w:t>
      </w:r>
      <w:r>
        <w:rPr>
          <w:rFonts w:hint="eastAsia" w:ascii="Times New Roman" w:hAnsi="Times New Roman" w:cs="Times New Roman"/>
          <w:color w:val="auto"/>
          <w:kern w:val="0"/>
          <w:szCs w:val="20"/>
          <w:highlight w:val="none"/>
          <w:lang w:val="en-US" w:eastAsia="zh-CN"/>
        </w:rPr>
        <w:t>B</w:t>
      </w:r>
      <w:r>
        <w:rPr>
          <w:rFonts w:hint="default" w:ascii="Times New Roman" w:hAnsi="Times New Roman" w:cs="Times New Roman"/>
          <w:color w:val="auto"/>
          <w:kern w:val="0"/>
          <w:szCs w:val="20"/>
          <w:highlight w:val="none"/>
          <w:lang w:val="en-US" w:eastAsia="zh-CN"/>
        </w:rPr>
        <w:t>：1</w:t>
      </w:r>
      <w:r>
        <w:rPr>
          <w:rFonts w:hint="eastAsia" w:ascii="Times New Roman" w:hAnsi="Times New Roman" w:cs="Times New Roman"/>
          <w:color w:val="auto"/>
          <w:kern w:val="0"/>
          <w:szCs w:val="20"/>
          <w:highlight w:val="none"/>
          <w:lang w:val="en-US" w:eastAsia="zh-CN"/>
        </w:rPr>
        <w:t xml:space="preserve"> </w:t>
      </w:r>
      <w:r>
        <w:rPr>
          <w:rFonts w:hint="default" w:ascii="Times New Roman" w:hAnsi="Times New Roman" w:cs="Times New Roman"/>
          <w:color w:val="auto"/>
          <w:kern w:val="0"/>
          <w:szCs w:val="20"/>
          <w:highlight w:val="none"/>
          <w:lang w:val="en-US" w:eastAsia="zh-CN"/>
        </w:rPr>
        <w:t>mL溶液含钠（Na）0.0</w:t>
      </w:r>
      <w:r>
        <w:rPr>
          <w:rFonts w:hint="eastAsia" w:ascii="Times New Roman" w:hAnsi="Times New Roman" w:cs="Times New Roman"/>
          <w:color w:val="auto"/>
          <w:kern w:val="0"/>
          <w:szCs w:val="20"/>
          <w:highlight w:val="none"/>
          <w:lang w:val="en-US" w:eastAsia="zh-CN"/>
        </w:rPr>
        <w:t xml:space="preserve">02 </w:t>
      </w:r>
      <w:r>
        <w:rPr>
          <w:rFonts w:hint="default" w:ascii="Times New Roman" w:hAnsi="Times New Roman" w:cs="Times New Roman"/>
          <w:color w:val="auto"/>
          <w:kern w:val="0"/>
          <w:szCs w:val="20"/>
          <w:highlight w:val="none"/>
          <w:lang w:val="en-US" w:eastAsia="zh-CN"/>
        </w:rPr>
        <w:t>mg。</w:t>
      </w:r>
    </w:p>
    <w:p>
      <w:pPr>
        <w:widowControl/>
        <w:adjustRightInd/>
        <w:spacing w:line="360" w:lineRule="exact"/>
        <w:ind w:firstLine="420" w:firstLineChars="200"/>
        <w:outlineLvl w:val="3"/>
        <w:rPr>
          <w:rFonts w:ascii="Times New Roman" w:hAnsi="Times New Roman"/>
          <w:color w:val="auto"/>
          <w:kern w:val="0"/>
          <w:szCs w:val="20"/>
          <w:highlight w:val="none"/>
        </w:rPr>
      </w:pPr>
      <w:r>
        <w:rPr>
          <w:rFonts w:ascii="Times New Roman" w:hAnsi="Times New Roman"/>
          <w:color w:val="auto"/>
          <w:kern w:val="0"/>
          <w:szCs w:val="20"/>
          <w:highlight w:val="none"/>
        </w:rPr>
        <w:t>移取</w:t>
      </w:r>
      <w:r>
        <w:rPr>
          <w:rFonts w:hint="eastAsia" w:ascii="Times New Roman" w:hAnsi="Times New Roman"/>
          <w:color w:val="auto"/>
          <w:kern w:val="0"/>
          <w:szCs w:val="20"/>
          <w:highlight w:val="none"/>
          <w:lang w:val="en-US" w:eastAsia="zh-CN"/>
        </w:rPr>
        <w:t>20</w:t>
      </w:r>
      <w:r>
        <w:rPr>
          <w:rFonts w:ascii="Times New Roman" w:hAnsi="Times New Roman"/>
          <w:color w:val="auto"/>
          <w:kern w:val="0"/>
          <w:szCs w:val="20"/>
          <w:highlight w:val="none"/>
        </w:rPr>
        <w:t>.00 mL</w:t>
      </w:r>
      <w:r>
        <w:rPr>
          <w:rFonts w:hint="eastAsia" w:ascii="Times New Roman" w:hAnsi="Times New Roman"/>
          <w:color w:val="auto"/>
          <w:kern w:val="0"/>
          <w:szCs w:val="20"/>
          <w:highlight w:val="none"/>
        </w:rPr>
        <w:t>按</w:t>
      </w:r>
      <w:r>
        <w:rPr>
          <w:rFonts w:hint="eastAsia" w:ascii="Times New Roman" w:hAnsi="Times New Roman"/>
          <w:color w:val="auto"/>
          <w:highlight w:val="none"/>
          <w:lang w:val="en-US" w:eastAsia="zh-CN"/>
        </w:rPr>
        <w:t>6.6.2.1</w:t>
      </w:r>
      <w:r>
        <w:rPr>
          <w:rFonts w:hint="eastAsia" w:ascii="Times New Roman" w:hAnsi="Times New Roman"/>
          <w:color w:val="auto"/>
          <w:highlight w:val="none"/>
        </w:rPr>
        <w:t>配制</w:t>
      </w:r>
      <w:r>
        <w:rPr>
          <w:rFonts w:hint="eastAsia" w:ascii="Times New Roman" w:hAnsi="Times New Roman"/>
          <w:color w:val="auto"/>
          <w:kern w:val="0"/>
          <w:szCs w:val="20"/>
          <w:highlight w:val="none"/>
        </w:rPr>
        <w:t>钠</w:t>
      </w:r>
      <w:r>
        <w:rPr>
          <w:rFonts w:ascii="Times New Roman" w:hAnsi="Times New Roman"/>
          <w:color w:val="auto"/>
          <w:kern w:val="0"/>
          <w:szCs w:val="20"/>
          <w:highlight w:val="none"/>
        </w:rPr>
        <w:t>标准溶液</w:t>
      </w:r>
      <w:r>
        <w:rPr>
          <w:rFonts w:hint="eastAsia" w:ascii="Times New Roman" w:hAnsi="Times New Roman"/>
          <w:color w:val="auto"/>
          <w:kern w:val="0"/>
          <w:szCs w:val="20"/>
          <w:highlight w:val="none"/>
          <w:lang w:val="en-US" w:eastAsia="zh-CN"/>
        </w:rPr>
        <w:t>A</w:t>
      </w:r>
      <w:r>
        <w:rPr>
          <w:rFonts w:ascii="Times New Roman" w:hAnsi="Times New Roman"/>
          <w:color w:val="auto"/>
          <w:kern w:val="0"/>
          <w:szCs w:val="20"/>
          <w:highlight w:val="none"/>
        </w:rPr>
        <w:t>（</w:t>
      </w:r>
      <w:r>
        <w:rPr>
          <w:rFonts w:hint="eastAsia" w:ascii="Times New Roman" w:hAnsi="Times New Roman"/>
          <w:color w:val="auto"/>
          <w:kern w:val="0"/>
          <w:szCs w:val="20"/>
          <w:highlight w:val="none"/>
          <w:lang w:val="en-US" w:eastAsia="zh-CN"/>
        </w:rPr>
        <w:t>0.0</w:t>
      </w:r>
      <w:r>
        <w:rPr>
          <w:rFonts w:hint="eastAsia" w:ascii="Times New Roman" w:hAnsi="Times New Roman"/>
          <w:color w:val="auto"/>
          <w:kern w:val="0"/>
          <w:szCs w:val="20"/>
          <w:highlight w:val="none"/>
        </w:rPr>
        <w:t>1 mg/mL</w:t>
      </w:r>
      <w:r>
        <w:rPr>
          <w:rFonts w:ascii="Times New Roman" w:hAnsi="Times New Roman"/>
          <w:color w:val="auto"/>
          <w:kern w:val="0"/>
          <w:szCs w:val="20"/>
          <w:highlight w:val="none"/>
        </w:rPr>
        <w:t>），置于100 mL容量瓶中，用水稀释至刻度，</w:t>
      </w:r>
      <w:r>
        <w:rPr>
          <w:rFonts w:hint="eastAsia" w:ascii="Times New Roman" w:hAnsi="Times New Roman"/>
          <w:color w:val="auto"/>
          <w:kern w:val="0"/>
          <w:szCs w:val="20"/>
          <w:highlight w:val="none"/>
        </w:rPr>
        <w:t>摇</w:t>
      </w:r>
      <w:r>
        <w:rPr>
          <w:rFonts w:ascii="Times New Roman" w:hAnsi="Times New Roman"/>
          <w:color w:val="auto"/>
          <w:kern w:val="0"/>
          <w:szCs w:val="20"/>
          <w:highlight w:val="none"/>
        </w:rPr>
        <w:t>匀。</w:t>
      </w:r>
    </w:p>
    <w:p>
      <w:pPr>
        <w:widowControl/>
        <w:numPr>
          <w:ilvl w:val="4"/>
          <w:numId w:val="2"/>
        </w:numPr>
        <w:adjustRightInd/>
        <w:spacing w:beforeLines="50" w:afterLines="50" w:line="360" w:lineRule="exact"/>
        <w:outlineLvl w:val="3"/>
        <w:rPr>
          <w:rFonts w:hint="default" w:ascii="Times New Roman" w:hAnsi="Times New Roman" w:eastAsia="宋体" w:cs="Times New Roman"/>
          <w:color w:val="auto"/>
          <w:kern w:val="0"/>
          <w:szCs w:val="20"/>
          <w:highlight w:val="none"/>
          <w:lang w:val="en-US" w:eastAsia="zh-CN"/>
        </w:rPr>
      </w:pPr>
      <w:r>
        <w:rPr>
          <w:rFonts w:hint="default" w:ascii="Times New Roman" w:hAnsi="Times New Roman" w:cs="Times New Roman"/>
          <w:color w:val="auto"/>
          <w:kern w:val="0"/>
          <w:szCs w:val="20"/>
          <w:highlight w:val="none"/>
          <w:lang w:val="en-US" w:eastAsia="zh-CN"/>
        </w:rPr>
        <w:t>其他试剂</w:t>
      </w:r>
      <w:r>
        <w:rPr>
          <w:rFonts w:hint="default" w:ascii="Times New Roman" w:hAnsi="Times New Roman" w:eastAsia="宋体" w:cs="Times New Roman"/>
          <w:color w:val="auto"/>
          <w:kern w:val="0"/>
          <w:szCs w:val="20"/>
          <w:highlight w:val="none"/>
          <w:lang w:val="en-US" w:eastAsia="zh-CN"/>
        </w:rPr>
        <w:t>同GB/T 41704—2022中4.1.2。</w:t>
      </w:r>
    </w:p>
    <w:p>
      <w:pPr>
        <w:pStyle w:val="71"/>
        <w:spacing w:before="120" w:after="120" w:line="360" w:lineRule="exact"/>
        <w:ind w:left="0"/>
        <w:rPr>
          <w:rFonts w:hint="eastAsia"/>
          <w:color w:val="auto"/>
          <w:highlight w:val="none"/>
          <w:lang w:val="en-US" w:eastAsia="zh-CN"/>
        </w:rPr>
      </w:pPr>
      <w:r>
        <w:rPr>
          <w:rFonts w:hint="eastAsia"/>
          <w:color w:val="auto"/>
          <w:highlight w:val="none"/>
          <w:lang w:val="en-US" w:eastAsia="zh-CN"/>
        </w:rPr>
        <w:t>仪器、设备</w:t>
      </w:r>
    </w:p>
    <w:p>
      <w:pPr>
        <w:pStyle w:val="62"/>
        <w:rPr>
          <w:rFonts w:hint="default" w:ascii="Times New Roman" w:eastAsia="宋体"/>
          <w:color w:val="auto"/>
          <w:highlight w:val="none"/>
          <w:lang w:val="en-US" w:eastAsia="zh-CN"/>
        </w:rPr>
      </w:pPr>
      <w:r>
        <w:rPr>
          <w:rFonts w:hint="eastAsia" w:ascii="Times New Roman"/>
          <w:color w:val="auto"/>
          <w:highlight w:val="none"/>
          <w:lang w:val="en-US" w:eastAsia="zh-CN"/>
        </w:rPr>
        <w:t>同GB/T 41704—2022中4.1.3。</w:t>
      </w:r>
    </w:p>
    <w:p>
      <w:pPr>
        <w:pStyle w:val="71"/>
        <w:spacing w:before="120" w:after="120" w:line="360" w:lineRule="exact"/>
        <w:ind w:left="0"/>
        <w:rPr>
          <w:rFonts w:hint="eastAsia"/>
          <w:color w:val="auto"/>
          <w:highlight w:val="none"/>
          <w:lang w:val="en-US" w:eastAsia="zh-CN"/>
        </w:rPr>
      </w:pPr>
      <w:r>
        <w:rPr>
          <w:rFonts w:hint="eastAsia"/>
          <w:color w:val="auto"/>
          <w:highlight w:val="none"/>
          <w:lang w:val="en-US" w:eastAsia="zh-CN"/>
        </w:rPr>
        <w:t>试验步骤</w:t>
      </w:r>
    </w:p>
    <w:p>
      <w:pPr>
        <w:widowControl/>
        <w:numPr>
          <w:ilvl w:val="4"/>
          <w:numId w:val="2"/>
        </w:numPr>
        <w:adjustRightInd/>
        <w:spacing w:beforeLines="50" w:afterLines="50" w:line="360" w:lineRule="exact"/>
        <w:outlineLvl w:val="3"/>
        <w:rPr>
          <w:rFonts w:hint="eastAsia" w:ascii="黑体" w:hAnsi="黑体" w:eastAsia="黑体" w:cs="黑体"/>
          <w:color w:val="auto"/>
          <w:kern w:val="0"/>
          <w:szCs w:val="20"/>
          <w:highlight w:val="none"/>
          <w:lang w:val="en-US" w:eastAsia="zh-CN"/>
        </w:rPr>
      </w:pPr>
      <w:r>
        <w:rPr>
          <w:rFonts w:hint="eastAsia" w:ascii="黑体" w:hAnsi="黑体" w:eastAsia="黑体" w:cs="黑体"/>
          <w:color w:val="auto"/>
          <w:kern w:val="0"/>
          <w:szCs w:val="20"/>
          <w:highlight w:val="none"/>
          <w:lang w:val="en-US" w:eastAsia="zh-CN"/>
        </w:rPr>
        <w:t>镍、铁、铬和锌含量的试验</w:t>
      </w:r>
    </w:p>
    <w:p>
      <w:pPr>
        <w:pStyle w:val="62"/>
        <w:rPr>
          <w:rFonts w:hint="eastAsia" w:ascii="Times New Roman"/>
          <w:color w:val="auto"/>
          <w:highlight w:val="none"/>
          <w:lang w:val="en-US" w:eastAsia="zh-CN"/>
        </w:rPr>
      </w:pPr>
      <w:r>
        <w:rPr>
          <w:rFonts w:hint="eastAsia" w:ascii="Times New Roman"/>
          <w:color w:val="auto"/>
          <w:highlight w:val="none"/>
          <w:lang w:val="en-US" w:eastAsia="zh-CN"/>
        </w:rPr>
        <w:t>按GB/T 41704—2022中4.1.5的规定进行测定。</w:t>
      </w:r>
    </w:p>
    <w:p>
      <w:pPr>
        <w:widowControl/>
        <w:numPr>
          <w:ilvl w:val="4"/>
          <w:numId w:val="2"/>
        </w:numPr>
        <w:adjustRightInd/>
        <w:spacing w:beforeLines="50" w:afterLines="50" w:line="360" w:lineRule="exact"/>
        <w:outlineLvl w:val="3"/>
        <w:rPr>
          <w:rFonts w:hint="eastAsia" w:ascii="黑体" w:hAnsi="黑体" w:eastAsia="黑体" w:cs="黑体"/>
          <w:color w:val="auto"/>
          <w:kern w:val="0"/>
          <w:szCs w:val="20"/>
          <w:highlight w:val="none"/>
          <w:lang w:val="en-US" w:eastAsia="zh-CN"/>
        </w:rPr>
      </w:pPr>
      <w:r>
        <w:rPr>
          <w:rFonts w:hint="eastAsia" w:ascii="黑体" w:hAnsi="黑体" w:eastAsia="黑体" w:cs="黑体"/>
          <w:color w:val="auto"/>
          <w:kern w:val="0"/>
          <w:szCs w:val="20"/>
          <w:highlight w:val="none"/>
          <w:lang w:val="en-US" w:eastAsia="zh-CN"/>
        </w:rPr>
        <w:t>钠含量的试验</w:t>
      </w:r>
    </w:p>
    <w:p>
      <w:pPr>
        <w:pStyle w:val="219"/>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hint="eastAsia" w:ascii="Times New Roman"/>
          <w:color w:val="auto"/>
          <w:highlight w:val="none"/>
        </w:rPr>
      </w:pPr>
      <w:r>
        <w:rPr>
          <w:rFonts w:hint="eastAsia" w:ascii="Times New Roman"/>
          <w:color w:val="auto"/>
          <w:highlight w:val="none"/>
          <w:lang w:val="en-US" w:eastAsia="zh-CN"/>
        </w:rPr>
        <w:t>分别移取0.00 mL、2.50 mL、5.00 mL、25.00 mL钠标准溶液B和10.00 mL、20.00 mL钠标准溶液A，置于6个100 mL容量瓶中，加入3 mL硝酸，用水稀释至刻度，摇匀。</w:t>
      </w:r>
      <w:r>
        <w:rPr>
          <w:rFonts w:hint="eastAsia" w:ascii="Times New Roman"/>
          <w:color w:val="auto"/>
          <w:highlight w:val="none"/>
        </w:rPr>
        <w:t>在电感耦合等离子体原子发射光谱仪上，</w:t>
      </w:r>
      <w:r>
        <w:rPr>
          <w:rFonts w:hint="eastAsia" w:ascii="Times New Roman"/>
          <w:color w:val="auto"/>
          <w:highlight w:val="none"/>
          <w:lang w:val="en-US" w:eastAsia="zh-CN"/>
        </w:rPr>
        <w:t>选择589.592 nm</w:t>
      </w:r>
      <w:r>
        <w:rPr>
          <w:rFonts w:hint="eastAsia" w:ascii="Times New Roman"/>
          <w:color w:val="auto"/>
          <w:highlight w:val="none"/>
        </w:rPr>
        <w:t>分析谱线波长，测量</w:t>
      </w:r>
      <w:r>
        <w:rPr>
          <w:rFonts w:hint="eastAsia" w:ascii="Times New Roman"/>
          <w:color w:val="auto"/>
          <w:highlight w:val="none"/>
          <w:lang w:val="en-US" w:eastAsia="zh-CN"/>
        </w:rPr>
        <w:t>上述</w:t>
      </w:r>
      <w:r>
        <w:rPr>
          <w:rFonts w:hint="eastAsia"/>
          <w:color w:val="auto"/>
          <w:highlight w:val="none"/>
        </w:rPr>
        <w:t>标准系列溶液</w:t>
      </w:r>
      <w:r>
        <w:rPr>
          <w:rFonts w:hint="eastAsia" w:ascii="Times New Roman"/>
          <w:color w:val="auto"/>
          <w:highlight w:val="none"/>
        </w:rPr>
        <w:t>中</w:t>
      </w:r>
      <w:r>
        <w:rPr>
          <w:rFonts w:hint="eastAsia" w:ascii="Times New Roman"/>
          <w:color w:val="auto"/>
          <w:highlight w:val="none"/>
          <w:lang w:val="en-US" w:eastAsia="zh-CN"/>
        </w:rPr>
        <w:t>钠</w:t>
      </w:r>
      <w:r>
        <w:rPr>
          <w:rFonts w:hint="eastAsia" w:ascii="Times New Roman"/>
          <w:color w:val="auto"/>
          <w:highlight w:val="none"/>
        </w:rPr>
        <w:t>的发射光谱强度。从每个标准溶液的发射光谱强度减去试剂空白溶液的发射光谱强度，以</w:t>
      </w:r>
      <w:r>
        <w:rPr>
          <w:rFonts w:hint="eastAsia" w:ascii="Times New Roman"/>
          <w:color w:val="auto"/>
          <w:highlight w:val="none"/>
          <w:lang w:val="en-US" w:eastAsia="zh-CN"/>
        </w:rPr>
        <w:t>钠</w:t>
      </w:r>
      <w:r>
        <w:rPr>
          <w:rFonts w:hint="eastAsia" w:ascii="Times New Roman"/>
          <w:color w:val="auto"/>
          <w:highlight w:val="none"/>
        </w:rPr>
        <w:t>的质量浓度（</w:t>
      </w:r>
      <w:r>
        <w:rPr>
          <w:rFonts w:ascii="Times New Roman"/>
          <w:color w:val="auto"/>
          <w:highlight w:val="none"/>
        </w:rPr>
        <w:t>μg/mL</w:t>
      </w:r>
      <w:r>
        <w:rPr>
          <w:rFonts w:hint="eastAsia" w:ascii="Times New Roman"/>
          <w:color w:val="auto"/>
          <w:highlight w:val="none"/>
        </w:rPr>
        <w:t>）为横坐标，对应的发射光谱强度为纵坐标，绘制标准曲线。</w:t>
      </w:r>
    </w:p>
    <w:p>
      <w:pPr>
        <w:pStyle w:val="219"/>
        <w:keepNext w:val="0"/>
        <w:keepLines w:val="0"/>
        <w:pageBreakBefore w:val="0"/>
        <w:widowControl w:val="0"/>
        <w:numPr>
          <w:ilvl w:val="3"/>
          <w:numId w:val="0"/>
        </w:numPr>
        <w:kinsoku/>
        <w:wordWrap/>
        <w:overflowPunct/>
        <w:topLinePunct w:val="0"/>
        <w:autoSpaceDE/>
        <w:autoSpaceDN/>
        <w:bidi w:val="0"/>
        <w:adjustRightInd/>
        <w:snapToGrid/>
        <w:spacing w:line="360" w:lineRule="exact"/>
        <w:ind w:firstLine="420" w:firstLineChars="200"/>
        <w:textAlignment w:val="auto"/>
        <w:rPr>
          <w:rFonts w:ascii="Times New Roman"/>
          <w:color w:val="auto"/>
          <w:szCs w:val="21"/>
          <w:highlight w:val="none"/>
        </w:rPr>
      </w:pPr>
      <w:r>
        <w:rPr>
          <w:rFonts w:hint="eastAsia" w:ascii="Times New Roman"/>
          <w:color w:val="auto"/>
          <w:highlight w:val="none"/>
        </w:rPr>
        <w:t>在电感耦合等离子体原子发射光谱仪上，</w:t>
      </w:r>
      <w:r>
        <w:rPr>
          <w:rFonts w:hint="eastAsia" w:ascii="Times New Roman"/>
          <w:color w:val="auto"/>
          <w:highlight w:val="none"/>
          <w:lang w:val="en-US" w:eastAsia="zh-CN"/>
        </w:rPr>
        <w:t>选择589.592 nm</w:t>
      </w:r>
      <w:r>
        <w:rPr>
          <w:rFonts w:hint="eastAsia" w:ascii="Times New Roman"/>
          <w:color w:val="auto"/>
          <w:highlight w:val="none"/>
        </w:rPr>
        <w:t>分析谱线波长，测量</w:t>
      </w:r>
      <w:r>
        <w:rPr>
          <w:rFonts w:hint="eastAsia" w:ascii="Times New Roman"/>
          <w:color w:val="auto"/>
          <w:highlight w:val="none"/>
          <w:lang w:val="en-US" w:eastAsia="zh-CN"/>
        </w:rPr>
        <w:t>试</w:t>
      </w:r>
      <w:r>
        <w:rPr>
          <w:rFonts w:hint="eastAsia"/>
          <w:color w:val="auto"/>
          <w:highlight w:val="none"/>
        </w:rPr>
        <w:t>液</w:t>
      </w:r>
      <w:r>
        <w:rPr>
          <w:rFonts w:hint="eastAsia" w:ascii="Times New Roman"/>
          <w:color w:val="auto"/>
          <w:highlight w:val="none"/>
        </w:rPr>
        <w:t>中</w:t>
      </w:r>
      <w:r>
        <w:rPr>
          <w:rFonts w:hint="eastAsia" w:ascii="Times New Roman"/>
          <w:color w:val="auto"/>
          <w:highlight w:val="none"/>
          <w:lang w:val="en-US" w:eastAsia="zh-CN"/>
        </w:rPr>
        <w:t>钠</w:t>
      </w:r>
      <w:r>
        <w:rPr>
          <w:rFonts w:hint="eastAsia" w:ascii="Times New Roman"/>
          <w:color w:val="auto"/>
          <w:highlight w:val="none"/>
        </w:rPr>
        <w:t>的发射光谱强度。</w:t>
      </w:r>
      <w:r>
        <w:rPr>
          <w:rFonts w:ascii="Times New Roman"/>
          <w:color w:val="auto"/>
          <w:highlight w:val="none"/>
        </w:rPr>
        <w:t>从</w:t>
      </w:r>
      <w:r>
        <w:rPr>
          <w:rFonts w:hint="eastAsia" w:ascii="Times New Roman"/>
          <w:color w:val="auto"/>
          <w:highlight w:val="none"/>
        </w:rPr>
        <w:t>标准曲线</w:t>
      </w:r>
      <w:r>
        <w:rPr>
          <w:rFonts w:ascii="Times New Roman"/>
          <w:color w:val="auto"/>
          <w:highlight w:val="none"/>
        </w:rPr>
        <w:t>上查得</w:t>
      </w:r>
      <w:r>
        <w:rPr>
          <w:rFonts w:hint="eastAsia" w:ascii="Times New Roman"/>
          <w:color w:val="auto"/>
          <w:highlight w:val="none"/>
          <w:lang w:val="en-US" w:eastAsia="zh-CN"/>
        </w:rPr>
        <w:t>钠</w:t>
      </w:r>
      <w:r>
        <w:rPr>
          <w:rFonts w:ascii="Times New Roman"/>
          <w:color w:val="auto"/>
          <w:szCs w:val="21"/>
          <w:highlight w:val="none"/>
        </w:rPr>
        <w:t>的质量浓度（μg/mL）。</w:t>
      </w:r>
    </w:p>
    <w:p>
      <w:pPr>
        <w:pStyle w:val="71"/>
        <w:spacing w:before="120" w:after="120" w:line="360" w:lineRule="exact"/>
        <w:ind w:left="0"/>
        <w:rPr>
          <w:rFonts w:hint="eastAsia"/>
          <w:color w:val="auto"/>
          <w:highlight w:val="none"/>
          <w:lang w:val="en-US" w:eastAsia="zh-CN"/>
        </w:rPr>
      </w:pPr>
      <w:r>
        <w:rPr>
          <w:rFonts w:hint="eastAsia"/>
          <w:color w:val="auto"/>
          <w:highlight w:val="none"/>
          <w:lang w:val="en-US" w:eastAsia="zh-CN"/>
        </w:rPr>
        <w:t>试验数据处理</w:t>
      </w:r>
    </w:p>
    <w:p>
      <w:pPr>
        <w:widowControl/>
        <w:numPr>
          <w:ilvl w:val="4"/>
          <w:numId w:val="2"/>
        </w:numPr>
        <w:adjustRightInd/>
        <w:spacing w:beforeLines="50" w:afterLines="50" w:line="360" w:lineRule="exact"/>
        <w:outlineLvl w:val="3"/>
        <w:rPr>
          <w:rFonts w:hint="eastAsia" w:ascii="宋体" w:hAnsi="宋体" w:eastAsia="宋体" w:cs="宋体"/>
          <w:color w:val="auto"/>
          <w:kern w:val="0"/>
          <w:szCs w:val="20"/>
          <w:highlight w:val="none"/>
        </w:rPr>
      </w:pPr>
      <w:r>
        <w:rPr>
          <w:rFonts w:hint="eastAsia" w:ascii="宋体" w:hAnsi="宋体" w:eastAsia="宋体" w:cs="宋体"/>
          <w:color w:val="auto"/>
          <w:kern w:val="0"/>
          <w:szCs w:val="20"/>
          <w:highlight w:val="none"/>
          <w:lang w:val="en-US" w:eastAsia="zh-CN"/>
        </w:rPr>
        <w:t>当样品</w:t>
      </w:r>
      <w:r>
        <w:rPr>
          <w:rFonts w:hint="eastAsia" w:ascii="宋体" w:hAnsi="宋体" w:cs="宋体"/>
          <w:color w:val="auto"/>
          <w:kern w:val="0"/>
          <w:szCs w:val="20"/>
          <w:highlight w:val="none"/>
          <w:lang w:val="en-US" w:eastAsia="zh-CN"/>
        </w:rPr>
        <w:t>中不掺杂锌元素时，磁性异物以</w:t>
      </w:r>
      <w:r>
        <w:rPr>
          <w:rFonts w:hint="eastAsia" w:ascii="Times New Roman" w:hAnsi="Times New Roman" w:cs="Times New Roman"/>
          <w:i/>
          <w:iCs/>
          <w:color w:val="auto"/>
          <w:kern w:val="0"/>
          <w:szCs w:val="20"/>
          <w:highlight w:val="none"/>
          <w:lang w:val="en-US" w:eastAsia="zh-CN"/>
        </w:rPr>
        <w:t>w</w:t>
      </w:r>
      <w:r>
        <w:rPr>
          <w:rFonts w:hint="eastAsia" w:ascii="Times New Roman" w:hAnsi="Times New Roman" w:cs="Times New Roman"/>
          <w:i w:val="0"/>
          <w:iCs w:val="0"/>
          <w:color w:val="auto"/>
          <w:kern w:val="0"/>
          <w:szCs w:val="20"/>
          <w:highlight w:val="none"/>
          <w:lang w:val="en-US" w:eastAsia="zh-CN"/>
        </w:rPr>
        <w:t>计，按公式（9）计算：</w:t>
      </w:r>
    </w:p>
    <w:p>
      <w:pPr>
        <w:numPr>
          <w:ilvl w:val="0"/>
          <w:numId w:val="0"/>
        </w:numPr>
        <w:spacing w:beforeLines="50" w:afterLines="50" w:line="360" w:lineRule="auto"/>
        <w:jc w:val="right"/>
        <w:outlineLvl w:val="3"/>
        <w:rPr>
          <w:rFonts w:ascii="Times New Roman"/>
          <w:color w:val="auto"/>
          <w:highlight w:val="none"/>
        </w:rPr>
      </w:pPr>
      <w:r>
        <w:rPr>
          <w:color w:val="auto"/>
          <w:position w:val="-32"/>
          <w:highlight w:val="none"/>
        </w:rPr>
        <w:object>
          <v:shape id="_x0000_i1033" o:spt="75" type="#_x0000_t75" style="height:38.65pt;width:370.5pt;" o:ole="t" filled="f" o:preferrelative="t" stroked="f" coordsize="21600,21600">
            <v:path/>
            <v:fill on="f" focussize="0,0"/>
            <v:stroke on="f"/>
            <v:imagedata r:id="rId29" o:title=""/>
            <o:lock v:ext="edit" aspectratio="t"/>
            <w10:wrap type="none"/>
            <w10:anchorlock/>
          </v:shape>
          <o:OLEObject Type="Embed" ProgID="Equation.3" ShapeID="_x0000_i1033" DrawAspect="Content" ObjectID="_1468075733" r:id="rId28">
            <o:LockedField>false</o:LockedField>
          </o:OLEObject>
        </w:object>
      </w:r>
      <w:r>
        <w:rPr>
          <w:rFonts w:hint="eastAsia" w:cs="宋体"/>
          <w:color w:val="auto"/>
          <w:highlight w:val="none"/>
        </w:rPr>
        <w:t>……</w:t>
      </w:r>
      <w:r>
        <w:rPr>
          <w:rFonts w:hint="eastAsia" w:ascii="Times New Roman" w:hAnsi="Times New Roman"/>
          <w:color w:val="auto"/>
          <w:highlight w:val="none"/>
        </w:rPr>
        <w:t>（</w:t>
      </w:r>
      <w:r>
        <w:rPr>
          <w:rFonts w:hint="eastAsia" w:ascii="Times New Roman"/>
          <w:color w:val="auto"/>
          <w:highlight w:val="none"/>
          <w:lang w:val="en-US" w:eastAsia="zh-CN"/>
        </w:rPr>
        <w:t>9</w:t>
      </w:r>
      <w:r>
        <w:rPr>
          <w:rFonts w:hint="eastAsia" w:ascii="Times New Roman" w:hAnsi="Times New Roman"/>
          <w:color w:val="auto"/>
          <w:highlight w:val="none"/>
        </w:rPr>
        <w:t>）</w:t>
      </w:r>
    </w:p>
    <w:p>
      <w:pPr>
        <w:pStyle w:val="62"/>
        <w:rPr>
          <w:rFonts w:hint="eastAsia" w:ascii="Times New Roman"/>
          <w:color w:val="auto"/>
          <w:highlight w:val="none"/>
          <w:lang w:val="en-US" w:eastAsia="zh-CN"/>
        </w:rPr>
      </w:pPr>
      <w:r>
        <w:rPr>
          <w:rFonts w:hint="eastAsia" w:ascii="Times New Roman"/>
          <w:color w:val="auto"/>
          <w:highlight w:val="none"/>
          <w:lang w:val="en-US" w:eastAsia="zh-CN"/>
        </w:rPr>
        <w:t>式中：</w:t>
      </w:r>
    </w:p>
    <w:p>
      <w:pPr>
        <w:pStyle w:val="62"/>
        <w:spacing w:line="360" w:lineRule="exact"/>
        <w:ind w:firstLine="420"/>
        <w:rPr>
          <w:rFonts w:ascii="Times New Roman"/>
          <w:color w:val="auto"/>
          <w:highlight w:val="none"/>
        </w:rPr>
      </w:pPr>
      <w:r>
        <w:rPr>
          <w:rFonts w:ascii="Times New Roman"/>
          <w:i/>
          <w:iCs/>
          <w:color w:val="auto"/>
          <w:kern w:val="2"/>
          <w:szCs w:val="21"/>
          <w:highlight w:val="none"/>
        </w:rPr>
        <w:t>ρ</w:t>
      </w:r>
      <w:r>
        <w:rPr>
          <w:rFonts w:hint="eastAsia" w:ascii="Times New Roman"/>
          <w:color w:val="auto"/>
          <w:kern w:val="2"/>
          <w:szCs w:val="21"/>
          <w:highlight w:val="none"/>
          <w:vertAlign w:val="subscript"/>
          <w:lang w:val="en-US" w:eastAsia="zh-CN"/>
        </w:rPr>
        <w:t>M</w:t>
      </w:r>
      <w:r>
        <w:rPr>
          <w:rFonts w:ascii="Times New Roman"/>
          <w:color w:val="auto"/>
          <w:highlight w:val="none"/>
        </w:rPr>
        <w:t>——从</w:t>
      </w:r>
      <w:r>
        <w:rPr>
          <w:rFonts w:hint="eastAsia" w:ascii="Times New Roman"/>
          <w:color w:val="auto"/>
          <w:highlight w:val="none"/>
        </w:rPr>
        <w:t>标准曲线</w:t>
      </w:r>
      <w:r>
        <w:rPr>
          <w:rFonts w:ascii="Times New Roman"/>
          <w:color w:val="auto"/>
          <w:highlight w:val="none"/>
        </w:rPr>
        <w:t>上查得</w:t>
      </w:r>
      <w:r>
        <w:rPr>
          <w:rFonts w:hint="eastAsia" w:ascii="Times New Roman"/>
          <w:color w:val="auto"/>
          <w:highlight w:val="none"/>
          <w:lang w:val="en-US" w:eastAsia="zh-CN"/>
        </w:rPr>
        <w:t>试</w:t>
      </w:r>
      <w:r>
        <w:rPr>
          <w:rFonts w:hint="eastAsia" w:ascii="Times New Roman"/>
          <w:color w:val="auto"/>
          <w:highlight w:val="none"/>
        </w:rPr>
        <w:t>液</w:t>
      </w:r>
      <w:r>
        <w:rPr>
          <w:rFonts w:ascii="Times New Roman"/>
          <w:color w:val="auto"/>
          <w:highlight w:val="none"/>
        </w:rPr>
        <w:t>中</w:t>
      </w:r>
      <w:r>
        <w:rPr>
          <w:rFonts w:hint="eastAsia" w:ascii="Times New Roman"/>
          <w:color w:val="auto"/>
          <w:highlight w:val="none"/>
          <w:lang w:val="en-US" w:eastAsia="zh-CN"/>
        </w:rPr>
        <w:t>被测元素（镍、铬、锌）</w:t>
      </w:r>
      <w:r>
        <w:rPr>
          <w:rFonts w:ascii="Times New Roman"/>
          <w:color w:val="auto"/>
          <w:highlight w:val="none"/>
        </w:rPr>
        <w:t>的质量浓度</w:t>
      </w:r>
      <w:r>
        <w:rPr>
          <w:rFonts w:hint="eastAsia" w:ascii="Times New Roman"/>
          <w:color w:val="auto"/>
          <w:highlight w:val="none"/>
        </w:rPr>
        <w:t>的数值</w:t>
      </w:r>
      <w:r>
        <w:rPr>
          <w:rFonts w:ascii="Times New Roman"/>
          <w:color w:val="auto"/>
          <w:highlight w:val="none"/>
        </w:rPr>
        <w:t>，单位为微克每毫升（μg/mL）；</w:t>
      </w:r>
    </w:p>
    <w:p>
      <w:pPr>
        <w:pStyle w:val="62"/>
        <w:spacing w:line="360" w:lineRule="exact"/>
        <w:ind w:firstLine="420"/>
        <w:rPr>
          <w:rFonts w:ascii="Times New Roman"/>
          <w:color w:val="auto"/>
          <w:highlight w:val="none"/>
        </w:rPr>
      </w:pPr>
      <w:r>
        <w:rPr>
          <w:rFonts w:ascii="Times New Roman"/>
          <w:i/>
          <w:iCs/>
          <w:color w:val="auto"/>
          <w:kern w:val="2"/>
          <w:szCs w:val="21"/>
          <w:highlight w:val="none"/>
        </w:rPr>
        <w:t>ρ</w:t>
      </w:r>
      <w:r>
        <w:rPr>
          <w:rFonts w:hint="eastAsia" w:ascii="Times New Roman"/>
          <w:color w:val="auto"/>
          <w:kern w:val="2"/>
          <w:szCs w:val="21"/>
          <w:highlight w:val="none"/>
          <w:vertAlign w:val="subscript"/>
          <w:lang w:val="en-US" w:eastAsia="zh-CN"/>
        </w:rPr>
        <w:t>0</w:t>
      </w:r>
      <w:r>
        <w:rPr>
          <w:rFonts w:ascii="Times New Roman"/>
          <w:color w:val="auto"/>
          <w:highlight w:val="none"/>
        </w:rPr>
        <w:t>——从</w:t>
      </w:r>
      <w:r>
        <w:rPr>
          <w:rFonts w:hint="eastAsia" w:ascii="Times New Roman"/>
          <w:color w:val="auto"/>
          <w:highlight w:val="none"/>
        </w:rPr>
        <w:t>标准曲线</w:t>
      </w:r>
      <w:r>
        <w:rPr>
          <w:rFonts w:ascii="Times New Roman"/>
          <w:color w:val="auto"/>
          <w:highlight w:val="none"/>
        </w:rPr>
        <w:t>上查得</w:t>
      </w:r>
      <w:r>
        <w:rPr>
          <w:rFonts w:hint="eastAsia" w:ascii="Times New Roman"/>
          <w:color w:val="auto"/>
          <w:highlight w:val="none"/>
          <w:lang w:val="en-US" w:eastAsia="zh-CN"/>
        </w:rPr>
        <w:t>空白试</w:t>
      </w:r>
      <w:r>
        <w:rPr>
          <w:rFonts w:hint="eastAsia" w:ascii="Times New Roman"/>
          <w:color w:val="auto"/>
          <w:highlight w:val="none"/>
        </w:rPr>
        <w:t>液</w:t>
      </w:r>
      <w:r>
        <w:rPr>
          <w:rFonts w:ascii="Times New Roman"/>
          <w:color w:val="auto"/>
          <w:highlight w:val="none"/>
        </w:rPr>
        <w:t>中</w:t>
      </w:r>
      <w:r>
        <w:rPr>
          <w:rFonts w:hint="eastAsia" w:ascii="Times New Roman"/>
          <w:color w:val="auto"/>
          <w:highlight w:val="none"/>
          <w:lang w:val="en-US" w:eastAsia="zh-CN"/>
        </w:rPr>
        <w:t>被测元素（镍、铬、锌）</w:t>
      </w:r>
      <w:r>
        <w:rPr>
          <w:rFonts w:ascii="Times New Roman"/>
          <w:color w:val="auto"/>
          <w:highlight w:val="none"/>
        </w:rPr>
        <w:t>的质量浓度</w:t>
      </w:r>
      <w:r>
        <w:rPr>
          <w:rFonts w:hint="eastAsia" w:ascii="Times New Roman"/>
          <w:color w:val="auto"/>
          <w:highlight w:val="none"/>
        </w:rPr>
        <w:t>的数值</w:t>
      </w:r>
      <w:r>
        <w:rPr>
          <w:rFonts w:ascii="Times New Roman"/>
          <w:color w:val="auto"/>
          <w:highlight w:val="none"/>
        </w:rPr>
        <w:t>，单位为微克每毫升（μg/mL）；</w:t>
      </w:r>
    </w:p>
    <w:p>
      <w:pPr>
        <w:pStyle w:val="62"/>
        <w:spacing w:line="360" w:lineRule="exact"/>
        <w:ind w:firstLine="420"/>
        <w:rPr>
          <w:rFonts w:hint="eastAsia" w:ascii="Times New Roman"/>
          <w:color w:val="auto"/>
          <w:highlight w:val="none"/>
          <w:lang w:val="en-US" w:eastAsia="zh-CN"/>
        </w:rPr>
      </w:pPr>
      <w:r>
        <w:rPr>
          <w:rFonts w:hint="eastAsia" w:ascii="Times New Roman"/>
          <w:i/>
          <w:iCs/>
          <w:color w:val="auto"/>
          <w:highlight w:val="none"/>
          <w:lang w:val="en-US" w:eastAsia="zh-CN"/>
        </w:rPr>
        <w:t>V</w:t>
      </w:r>
      <w:r>
        <w:rPr>
          <w:rFonts w:ascii="Times New Roman"/>
          <w:color w:val="auto"/>
          <w:highlight w:val="none"/>
        </w:rPr>
        <w:t>——</w:t>
      </w:r>
      <w:r>
        <w:rPr>
          <w:rFonts w:hint="eastAsia" w:ascii="Times New Roman"/>
          <w:color w:val="auto"/>
          <w:highlight w:val="none"/>
          <w:lang w:val="en-US" w:eastAsia="zh-CN"/>
        </w:rPr>
        <w:t>被测试液体积的数值，单位为毫升（mL）；</w:t>
      </w:r>
    </w:p>
    <w:p>
      <w:pPr>
        <w:pStyle w:val="62"/>
        <w:spacing w:line="360" w:lineRule="exact"/>
        <w:ind w:firstLine="420"/>
        <w:rPr>
          <w:rFonts w:ascii="Times New Roman"/>
          <w:color w:val="auto"/>
          <w:highlight w:val="none"/>
        </w:rPr>
      </w:pPr>
      <w:r>
        <w:rPr>
          <w:rFonts w:ascii="Times New Roman"/>
          <w:i/>
          <w:iCs/>
          <w:color w:val="auto"/>
          <w:kern w:val="2"/>
          <w:szCs w:val="21"/>
          <w:highlight w:val="none"/>
        </w:rPr>
        <w:t>ρ</w:t>
      </w:r>
      <w:r>
        <w:rPr>
          <w:rFonts w:hint="eastAsia" w:ascii="Times New Roman"/>
          <w:color w:val="auto"/>
          <w:kern w:val="2"/>
          <w:szCs w:val="21"/>
          <w:highlight w:val="none"/>
          <w:vertAlign w:val="subscript"/>
          <w:lang w:val="en-US" w:eastAsia="zh-CN"/>
        </w:rPr>
        <w:t>Fe</w:t>
      </w:r>
      <w:r>
        <w:rPr>
          <w:rFonts w:ascii="Times New Roman"/>
          <w:color w:val="auto"/>
          <w:highlight w:val="none"/>
        </w:rPr>
        <w:t>——</w:t>
      </w:r>
      <w:r>
        <w:rPr>
          <w:rFonts w:hint="eastAsia" w:ascii="Times New Roman"/>
          <w:color w:val="auto"/>
          <w:highlight w:val="none"/>
          <w:lang w:val="en-US" w:eastAsia="zh-CN"/>
        </w:rPr>
        <w:t>扣除空白后试</w:t>
      </w:r>
      <w:r>
        <w:rPr>
          <w:rFonts w:hint="eastAsia" w:ascii="Times New Roman"/>
          <w:color w:val="auto"/>
          <w:highlight w:val="none"/>
        </w:rPr>
        <w:t>液</w:t>
      </w:r>
      <w:r>
        <w:rPr>
          <w:rFonts w:ascii="Times New Roman"/>
          <w:color w:val="auto"/>
          <w:highlight w:val="none"/>
        </w:rPr>
        <w:t>中</w:t>
      </w:r>
      <w:r>
        <w:rPr>
          <w:rFonts w:hint="eastAsia" w:ascii="Times New Roman"/>
          <w:color w:val="auto"/>
          <w:highlight w:val="none"/>
          <w:lang w:val="en-US" w:eastAsia="zh-CN"/>
        </w:rPr>
        <w:t>铁</w:t>
      </w:r>
      <w:r>
        <w:rPr>
          <w:rFonts w:ascii="Times New Roman"/>
          <w:color w:val="auto"/>
          <w:highlight w:val="none"/>
        </w:rPr>
        <w:t>的质量浓度</w:t>
      </w:r>
      <w:r>
        <w:rPr>
          <w:rFonts w:hint="eastAsia" w:ascii="Times New Roman"/>
          <w:color w:val="auto"/>
          <w:highlight w:val="none"/>
        </w:rPr>
        <w:t>的数值</w:t>
      </w:r>
      <w:r>
        <w:rPr>
          <w:rFonts w:ascii="Times New Roman"/>
          <w:color w:val="auto"/>
          <w:highlight w:val="none"/>
        </w:rPr>
        <w:t>，单位为微克每毫升（μg/mL）；</w:t>
      </w:r>
    </w:p>
    <w:p>
      <w:pPr>
        <w:pStyle w:val="62"/>
        <w:spacing w:line="360" w:lineRule="exact"/>
        <w:ind w:firstLine="420"/>
        <w:rPr>
          <w:rFonts w:hint="eastAsia" w:ascii="Times New Roman"/>
          <w:color w:val="auto"/>
          <w:highlight w:val="none"/>
          <w:lang w:val="en-US" w:eastAsia="zh-CN"/>
        </w:rPr>
      </w:pPr>
      <w:r>
        <w:rPr>
          <w:rFonts w:hint="default" w:ascii="Arial" w:hAnsi="Arial" w:cs="Arial"/>
          <w:color w:val="auto"/>
          <w:highlight w:val="none"/>
        </w:rPr>
        <w:t>ɑ</w:t>
      </w:r>
      <w:r>
        <w:rPr>
          <w:rFonts w:ascii="Times New Roman"/>
          <w:color w:val="auto"/>
          <w:highlight w:val="none"/>
        </w:rPr>
        <w:t>——</w:t>
      </w:r>
      <w:r>
        <w:rPr>
          <w:rFonts w:hint="eastAsia" w:ascii="Times New Roman"/>
          <w:color w:val="auto"/>
          <w:highlight w:val="none"/>
          <w:lang w:val="en-US" w:eastAsia="zh-CN"/>
        </w:rPr>
        <w:t>换算系数，正极材料中铁与钠的摩尔比；</w:t>
      </w:r>
    </w:p>
    <w:p>
      <w:pPr>
        <w:pStyle w:val="62"/>
        <w:spacing w:line="360" w:lineRule="exact"/>
        <w:ind w:firstLine="420"/>
        <w:rPr>
          <w:rFonts w:ascii="Times New Roman"/>
          <w:color w:val="auto"/>
          <w:highlight w:val="none"/>
        </w:rPr>
      </w:pPr>
      <w:r>
        <w:rPr>
          <w:rFonts w:ascii="Times New Roman"/>
          <w:i/>
          <w:iCs/>
          <w:color w:val="auto"/>
          <w:kern w:val="2"/>
          <w:szCs w:val="21"/>
          <w:highlight w:val="none"/>
        </w:rPr>
        <w:t>ρ</w:t>
      </w:r>
      <w:r>
        <w:rPr>
          <w:rFonts w:hint="eastAsia" w:ascii="Times New Roman"/>
          <w:color w:val="auto"/>
          <w:kern w:val="2"/>
          <w:szCs w:val="21"/>
          <w:highlight w:val="none"/>
          <w:vertAlign w:val="subscript"/>
          <w:lang w:val="en-US" w:eastAsia="zh-CN"/>
        </w:rPr>
        <w:t>Na</w:t>
      </w:r>
      <w:r>
        <w:rPr>
          <w:rFonts w:ascii="Times New Roman"/>
          <w:color w:val="auto"/>
          <w:highlight w:val="none"/>
        </w:rPr>
        <w:t>——</w:t>
      </w:r>
      <w:r>
        <w:rPr>
          <w:rFonts w:hint="eastAsia" w:ascii="Times New Roman"/>
          <w:color w:val="auto"/>
          <w:highlight w:val="none"/>
          <w:lang w:val="en-US" w:eastAsia="zh-CN"/>
        </w:rPr>
        <w:t>扣除空白后试</w:t>
      </w:r>
      <w:r>
        <w:rPr>
          <w:rFonts w:hint="eastAsia" w:ascii="Times New Roman"/>
          <w:color w:val="auto"/>
          <w:highlight w:val="none"/>
        </w:rPr>
        <w:t>液</w:t>
      </w:r>
      <w:r>
        <w:rPr>
          <w:rFonts w:ascii="Times New Roman"/>
          <w:color w:val="auto"/>
          <w:highlight w:val="none"/>
        </w:rPr>
        <w:t>中</w:t>
      </w:r>
      <w:r>
        <w:rPr>
          <w:rFonts w:hint="eastAsia" w:ascii="Times New Roman"/>
          <w:color w:val="auto"/>
          <w:highlight w:val="none"/>
          <w:lang w:val="en-US" w:eastAsia="zh-CN"/>
        </w:rPr>
        <w:t>钠</w:t>
      </w:r>
      <w:r>
        <w:rPr>
          <w:rFonts w:ascii="Times New Roman"/>
          <w:color w:val="auto"/>
          <w:highlight w:val="none"/>
        </w:rPr>
        <w:t>的质量浓度</w:t>
      </w:r>
      <w:r>
        <w:rPr>
          <w:rFonts w:hint="eastAsia" w:ascii="Times New Roman"/>
          <w:color w:val="auto"/>
          <w:highlight w:val="none"/>
        </w:rPr>
        <w:t>的数值</w:t>
      </w:r>
      <w:r>
        <w:rPr>
          <w:rFonts w:ascii="Times New Roman"/>
          <w:color w:val="auto"/>
          <w:highlight w:val="none"/>
        </w:rPr>
        <w:t>，单位为微克每毫升（μg/mL）；</w:t>
      </w:r>
    </w:p>
    <w:p>
      <w:pPr>
        <w:pStyle w:val="62"/>
        <w:spacing w:line="360" w:lineRule="exact"/>
        <w:ind w:firstLine="420"/>
        <w:rPr>
          <w:rFonts w:hint="eastAsia" w:ascii="Times New Roman"/>
          <w:color w:val="auto"/>
          <w:highlight w:val="none"/>
          <w:lang w:val="en-US" w:eastAsia="zh-CN"/>
        </w:rPr>
      </w:pPr>
      <w:r>
        <w:rPr>
          <w:rFonts w:hint="eastAsia" w:ascii="Times New Roman"/>
          <w:i/>
          <w:iCs/>
          <w:color w:val="auto"/>
          <w:highlight w:val="none"/>
          <w:lang w:val="en-US" w:eastAsia="zh-CN"/>
        </w:rPr>
        <w:t>m</w:t>
      </w:r>
      <w:r>
        <w:rPr>
          <w:rFonts w:ascii="Times New Roman"/>
          <w:color w:val="auto"/>
          <w:highlight w:val="none"/>
        </w:rPr>
        <w:t>——</w:t>
      </w:r>
      <w:r>
        <w:rPr>
          <w:rFonts w:hint="eastAsia" w:ascii="Times New Roman"/>
          <w:color w:val="auto"/>
          <w:highlight w:val="none"/>
          <w:lang w:val="en-US" w:eastAsia="zh-CN"/>
        </w:rPr>
        <w:t>试料质量的数值，单位为克（g）。</w:t>
      </w:r>
    </w:p>
    <w:p>
      <w:pPr>
        <w:adjustRightInd w:val="0"/>
        <w:spacing w:line="400" w:lineRule="exact"/>
        <w:ind w:firstLine="420" w:firstLineChars="200"/>
        <w:rPr>
          <w:rFonts w:ascii="Calibri" w:hAnsi="Calibri"/>
          <w:color w:val="auto"/>
          <w:szCs w:val="20"/>
          <w:highlight w:val="none"/>
          <w14:ligatures w14:val="none"/>
        </w:rPr>
      </w:pPr>
      <w:r>
        <w:rPr>
          <w:rFonts w:ascii="Calibri" w:hAnsi="宋体"/>
          <w:color w:val="auto"/>
          <w:szCs w:val="20"/>
          <w:highlight w:val="none"/>
          <w14:ligatures w14:val="none"/>
        </w:rPr>
        <w:t>试验结果以平行测定结果的算术平均值为测定结果。</w:t>
      </w:r>
      <w:r>
        <w:rPr>
          <w:bCs/>
          <w:color w:val="auto"/>
          <w:szCs w:val="21"/>
          <w:highlight w:val="none"/>
          <w14:ligatures w14:val="none"/>
        </w:rPr>
        <w:t>两次平行测定结果的绝对差值不大于</w:t>
      </w:r>
      <w:r>
        <w:rPr>
          <w:rFonts w:hint="eastAsia"/>
          <w:bCs/>
          <w:color w:val="auto"/>
          <w:szCs w:val="21"/>
          <w:highlight w:val="none"/>
          <w14:ligatures w14:val="none"/>
        </w:rPr>
        <w:t>0.000 1%</w:t>
      </w:r>
      <w:r>
        <w:rPr>
          <w:rFonts w:ascii="Calibri" w:hAnsi="宋体"/>
          <w:color w:val="auto"/>
          <w:szCs w:val="20"/>
          <w:highlight w:val="none"/>
          <w14:ligatures w14:val="none"/>
        </w:rPr>
        <w:t>。</w:t>
      </w:r>
    </w:p>
    <w:p>
      <w:pPr>
        <w:widowControl/>
        <w:numPr>
          <w:ilvl w:val="4"/>
          <w:numId w:val="2"/>
        </w:numPr>
        <w:adjustRightInd/>
        <w:spacing w:beforeLines="50" w:afterLines="50" w:line="360" w:lineRule="exact"/>
        <w:outlineLvl w:val="3"/>
        <w:rPr>
          <w:rFonts w:hint="eastAsia" w:ascii="宋体" w:hAnsi="宋体" w:eastAsia="宋体" w:cs="宋体"/>
          <w:color w:val="auto"/>
          <w:kern w:val="0"/>
          <w:szCs w:val="20"/>
          <w:highlight w:val="none"/>
        </w:rPr>
      </w:pPr>
      <w:r>
        <w:rPr>
          <w:rFonts w:hint="eastAsia" w:ascii="宋体" w:hAnsi="宋体" w:eastAsia="宋体" w:cs="宋体"/>
          <w:color w:val="auto"/>
          <w:kern w:val="0"/>
          <w:szCs w:val="20"/>
          <w:highlight w:val="none"/>
          <w:lang w:val="en-US" w:eastAsia="zh-CN"/>
        </w:rPr>
        <w:t>当样品</w:t>
      </w:r>
      <w:r>
        <w:rPr>
          <w:rFonts w:hint="eastAsia" w:ascii="宋体" w:hAnsi="宋体" w:cs="宋体"/>
          <w:color w:val="auto"/>
          <w:kern w:val="0"/>
          <w:szCs w:val="20"/>
          <w:highlight w:val="none"/>
          <w:lang w:val="en-US" w:eastAsia="zh-CN"/>
        </w:rPr>
        <w:t>中掺杂锌元素时，磁性异物含量以</w:t>
      </w:r>
      <w:r>
        <w:rPr>
          <w:rFonts w:hint="eastAsia" w:ascii="Times New Roman" w:hAnsi="Times New Roman" w:cs="Times New Roman"/>
          <w:i/>
          <w:iCs/>
          <w:color w:val="auto"/>
          <w:kern w:val="0"/>
          <w:szCs w:val="20"/>
          <w:highlight w:val="none"/>
          <w:lang w:val="en-US" w:eastAsia="zh-CN"/>
        </w:rPr>
        <w:t>w</w:t>
      </w:r>
      <w:r>
        <w:rPr>
          <w:rFonts w:hint="eastAsia" w:ascii="Times New Roman" w:hAnsi="Times New Roman" w:cs="Times New Roman"/>
          <w:i w:val="0"/>
          <w:iCs w:val="0"/>
          <w:color w:val="auto"/>
          <w:kern w:val="0"/>
          <w:szCs w:val="20"/>
          <w:highlight w:val="none"/>
          <w:vertAlign w:val="superscript"/>
          <w:lang w:val="en-US" w:eastAsia="zh-CN"/>
        </w:rPr>
        <w:t>，</w:t>
      </w:r>
      <w:r>
        <w:rPr>
          <w:rFonts w:hint="eastAsia" w:ascii="Times New Roman" w:hAnsi="Times New Roman" w:cs="Times New Roman"/>
          <w:i w:val="0"/>
          <w:iCs w:val="0"/>
          <w:color w:val="auto"/>
          <w:kern w:val="0"/>
          <w:szCs w:val="20"/>
          <w:highlight w:val="none"/>
          <w:lang w:val="en-US" w:eastAsia="zh-CN"/>
        </w:rPr>
        <w:t>计，按公式（10）计算：</w:t>
      </w:r>
    </w:p>
    <w:p>
      <w:pPr>
        <w:pStyle w:val="71"/>
        <w:numPr>
          <w:ilvl w:val="3"/>
          <w:numId w:val="0"/>
        </w:numPr>
        <w:ind w:firstLine="0" w:firstLineChars="0"/>
        <w:jc w:val="right"/>
        <w:rPr>
          <w:rFonts w:ascii="Times New Roman"/>
          <w:color w:val="auto"/>
          <w:highlight w:val="none"/>
        </w:rPr>
      </w:pPr>
      <w:r>
        <w:rPr>
          <w:color w:val="auto"/>
          <w:position w:val="-32"/>
          <w:highlight w:val="none"/>
        </w:rPr>
        <w:object>
          <v:shape id="_x0000_i1034" o:spt="75" type="#_x0000_t75" style="height:38.65pt;width:373.45pt;" o:ole="t" filled="f" o:preferrelative="t" stroked="f" coordsize="21600,21600">
            <v:path/>
            <v:fill on="f" focussize="0,0"/>
            <v:stroke on="f"/>
            <v:imagedata r:id="rId31" o:title=""/>
            <o:lock v:ext="edit" aspectratio="t"/>
            <w10:wrap type="none"/>
            <w10:anchorlock/>
          </v:shape>
          <o:OLEObject Type="Embed" ProgID="Equation.3" ShapeID="_x0000_i1034" DrawAspect="Content" ObjectID="_1468075734" r:id="rId30">
            <o:LockedField>false</o:LockedField>
          </o:OLEObject>
        </w:object>
      </w:r>
      <w:r>
        <w:rPr>
          <w:rFonts w:hint="eastAsia" w:cs="宋体"/>
          <w:color w:val="auto"/>
          <w:highlight w:val="none"/>
        </w:rPr>
        <w:t>……</w:t>
      </w:r>
      <w:r>
        <w:rPr>
          <w:rFonts w:hint="eastAsia" w:ascii="Times New Roman" w:hAnsi="Times New Roman"/>
          <w:color w:val="auto"/>
          <w:highlight w:val="none"/>
        </w:rPr>
        <w:t>（</w:t>
      </w:r>
      <w:r>
        <w:rPr>
          <w:rFonts w:hint="eastAsia" w:ascii="Times New Roman"/>
          <w:color w:val="auto"/>
          <w:highlight w:val="none"/>
          <w:lang w:val="en-US" w:eastAsia="zh-CN"/>
        </w:rPr>
        <w:t>10</w:t>
      </w:r>
      <w:r>
        <w:rPr>
          <w:rFonts w:hint="eastAsia" w:ascii="Times New Roman" w:hAnsi="Times New Roman"/>
          <w:color w:val="auto"/>
          <w:highlight w:val="none"/>
        </w:rPr>
        <w:t>）</w:t>
      </w:r>
    </w:p>
    <w:p>
      <w:pPr>
        <w:pStyle w:val="62"/>
        <w:rPr>
          <w:rFonts w:hint="eastAsia" w:ascii="Times New Roman"/>
          <w:color w:val="auto"/>
          <w:highlight w:val="none"/>
          <w:lang w:val="en-US" w:eastAsia="zh-CN"/>
        </w:rPr>
      </w:pPr>
      <w:r>
        <w:rPr>
          <w:rFonts w:hint="eastAsia" w:ascii="Times New Roman"/>
          <w:color w:val="auto"/>
          <w:highlight w:val="none"/>
          <w:lang w:val="en-US" w:eastAsia="zh-CN"/>
        </w:rPr>
        <w:t>式中：</w:t>
      </w:r>
    </w:p>
    <w:p>
      <w:pPr>
        <w:pStyle w:val="62"/>
        <w:spacing w:line="360" w:lineRule="exact"/>
        <w:ind w:firstLine="420"/>
        <w:rPr>
          <w:rFonts w:ascii="Times New Roman"/>
          <w:color w:val="auto"/>
          <w:highlight w:val="none"/>
        </w:rPr>
      </w:pPr>
      <w:r>
        <w:rPr>
          <w:rFonts w:ascii="Times New Roman"/>
          <w:i/>
          <w:iCs/>
          <w:color w:val="auto"/>
          <w:kern w:val="2"/>
          <w:szCs w:val="21"/>
          <w:highlight w:val="none"/>
        </w:rPr>
        <w:t>ρ</w:t>
      </w:r>
      <w:r>
        <w:rPr>
          <w:rFonts w:hint="eastAsia" w:ascii="Times New Roman"/>
          <w:color w:val="auto"/>
          <w:kern w:val="2"/>
          <w:szCs w:val="21"/>
          <w:highlight w:val="none"/>
          <w:vertAlign w:val="subscript"/>
          <w:lang w:val="en-US" w:eastAsia="zh-CN"/>
        </w:rPr>
        <w:t>M</w:t>
      </w:r>
      <w:r>
        <w:rPr>
          <w:rFonts w:ascii="Times New Roman"/>
          <w:color w:val="auto"/>
          <w:highlight w:val="none"/>
        </w:rPr>
        <w:t>——从</w:t>
      </w:r>
      <w:r>
        <w:rPr>
          <w:rFonts w:hint="eastAsia" w:ascii="Times New Roman"/>
          <w:color w:val="auto"/>
          <w:highlight w:val="none"/>
        </w:rPr>
        <w:t>标准曲线</w:t>
      </w:r>
      <w:r>
        <w:rPr>
          <w:rFonts w:ascii="Times New Roman"/>
          <w:color w:val="auto"/>
          <w:highlight w:val="none"/>
        </w:rPr>
        <w:t>上查得</w:t>
      </w:r>
      <w:r>
        <w:rPr>
          <w:rFonts w:hint="eastAsia" w:ascii="Times New Roman"/>
          <w:color w:val="auto"/>
          <w:highlight w:val="none"/>
          <w:lang w:val="en-US" w:eastAsia="zh-CN"/>
        </w:rPr>
        <w:t>试</w:t>
      </w:r>
      <w:r>
        <w:rPr>
          <w:rFonts w:hint="eastAsia" w:ascii="Times New Roman"/>
          <w:color w:val="auto"/>
          <w:highlight w:val="none"/>
        </w:rPr>
        <w:t>液</w:t>
      </w:r>
      <w:r>
        <w:rPr>
          <w:rFonts w:ascii="Times New Roman"/>
          <w:color w:val="auto"/>
          <w:highlight w:val="none"/>
        </w:rPr>
        <w:t>中</w:t>
      </w:r>
      <w:r>
        <w:rPr>
          <w:rFonts w:hint="eastAsia" w:ascii="Times New Roman"/>
          <w:color w:val="auto"/>
          <w:highlight w:val="none"/>
          <w:lang w:val="en-US" w:eastAsia="zh-CN"/>
        </w:rPr>
        <w:t>被测元素（镍、铬）</w:t>
      </w:r>
      <w:r>
        <w:rPr>
          <w:rFonts w:ascii="Times New Roman"/>
          <w:color w:val="auto"/>
          <w:highlight w:val="none"/>
        </w:rPr>
        <w:t>的质量浓度</w:t>
      </w:r>
      <w:r>
        <w:rPr>
          <w:rFonts w:hint="eastAsia" w:ascii="Times New Roman"/>
          <w:color w:val="auto"/>
          <w:highlight w:val="none"/>
        </w:rPr>
        <w:t>的数值</w:t>
      </w:r>
      <w:r>
        <w:rPr>
          <w:rFonts w:ascii="Times New Roman"/>
          <w:color w:val="auto"/>
          <w:highlight w:val="none"/>
        </w:rPr>
        <w:t>，单位为微克每毫升（μg/mL）；</w:t>
      </w:r>
    </w:p>
    <w:p>
      <w:pPr>
        <w:pStyle w:val="62"/>
        <w:spacing w:line="360" w:lineRule="exact"/>
        <w:ind w:firstLine="420"/>
        <w:rPr>
          <w:rFonts w:ascii="Times New Roman"/>
          <w:color w:val="auto"/>
          <w:highlight w:val="none"/>
        </w:rPr>
      </w:pPr>
      <w:r>
        <w:rPr>
          <w:rFonts w:ascii="Times New Roman"/>
          <w:i/>
          <w:iCs/>
          <w:color w:val="auto"/>
          <w:kern w:val="2"/>
          <w:szCs w:val="21"/>
          <w:highlight w:val="none"/>
        </w:rPr>
        <w:t>ρ</w:t>
      </w:r>
      <w:r>
        <w:rPr>
          <w:rFonts w:hint="eastAsia" w:ascii="Times New Roman"/>
          <w:color w:val="auto"/>
          <w:kern w:val="2"/>
          <w:szCs w:val="21"/>
          <w:highlight w:val="none"/>
          <w:vertAlign w:val="subscript"/>
          <w:lang w:val="en-US" w:eastAsia="zh-CN"/>
        </w:rPr>
        <w:t>0</w:t>
      </w:r>
      <w:r>
        <w:rPr>
          <w:rFonts w:ascii="Times New Roman"/>
          <w:color w:val="auto"/>
          <w:highlight w:val="none"/>
        </w:rPr>
        <w:t>——从</w:t>
      </w:r>
      <w:r>
        <w:rPr>
          <w:rFonts w:hint="eastAsia" w:ascii="Times New Roman"/>
          <w:color w:val="auto"/>
          <w:highlight w:val="none"/>
        </w:rPr>
        <w:t>标准曲线</w:t>
      </w:r>
      <w:r>
        <w:rPr>
          <w:rFonts w:ascii="Times New Roman"/>
          <w:color w:val="auto"/>
          <w:highlight w:val="none"/>
        </w:rPr>
        <w:t>上查得</w:t>
      </w:r>
      <w:r>
        <w:rPr>
          <w:rFonts w:hint="eastAsia" w:ascii="Times New Roman"/>
          <w:color w:val="auto"/>
          <w:highlight w:val="none"/>
          <w:lang w:val="en-US" w:eastAsia="zh-CN"/>
        </w:rPr>
        <w:t>空白试</w:t>
      </w:r>
      <w:r>
        <w:rPr>
          <w:rFonts w:hint="eastAsia" w:ascii="Times New Roman"/>
          <w:color w:val="auto"/>
          <w:highlight w:val="none"/>
        </w:rPr>
        <w:t>液</w:t>
      </w:r>
      <w:r>
        <w:rPr>
          <w:rFonts w:ascii="Times New Roman"/>
          <w:color w:val="auto"/>
          <w:highlight w:val="none"/>
        </w:rPr>
        <w:t>中</w:t>
      </w:r>
      <w:r>
        <w:rPr>
          <w:rFonts w:hint="eastAsia" w:ascii="Times New Roman"/>
          <w:color w:val="auto"/>
          <w:highlight w:val="none"/>
          <w:lang w:val="en-US" w:eastAsia="zh-CN"/>
        </w:rPr>
        <w:t>被测元素（镍、铬）</w:t>
      </w:r>
      <w:r>
        <w:rPr>
          <w:rFonts w:ascii="Times New Roman"/>
          <w:color w:val="auto"/>
          <w:highlight w:val="none"/>
        </w:rPr>
        <w:t>的质量浓度</w:t>
      </w:r>
      <w:r>
        <w:rPr>
          <w:rFonts w:hint="eastAsia" w:ascii="Times New Roman"/>
          <w:color w:val="auto"/>
          <w:highlight w:val="none"/>
        </w:rPr>
        <w:t>的数值</w:t>
      </w:r>
      <w:r>
        <w:rPr>
          <w:rFonts w:ascii="Times New Roman"/>
          <w:color w:val="auto"/>
          <w:highlight w:val="none"/>
        </w:rPr>
        <w:t>，单位为微克每毫升（μg/mL）；</w:t>
      </w:r>
    </w:p>
    <w:p>
      <w:pPr>
        <w:pStyle w:val="62"/>
        <w:spacing w:line="360" w:lineRule="exact"/>
        <w:ind w:firstLine="420"/>
        <w:rPr>
          <w:rFonts w:hint="eastAsia" w:ascii="Times New Roman"/>
          <w:color w:val="auto"/>
          <w:highlight w:val="none"/>
          <w:lang w:val="en-US" w:eastAsia="zh-CN"/>
        </w:rPr>
      </w:pPr>
      <w:r>
        <w:rPr>
          <w:rFonts w:hint="eastAsia" w:ascii="Times New Roman"/>
          <w:i/>
          <w:iCs/>
          <w:color w:val="auto"/>
          <w:highlight w:val="none"/>
          <w:lang w:val="en-US" w:eastAsia="zh-CN"/>
        </w:rPr>
        <w:t>V</w:t>
      </w:r>
      <w:r>
        <w:rPr>
          <w:rFonts w:ascii="Times New Roman"/>
          <w:color w:val="auto"/>
          <w:highlight w:val="none"/>
        </w:rPr>
        <w:t>——</w:t>
      </w:r>
      <w:r>
        <w:rPr>
          <w:rFonts w:hint="eastAsia" w:ascii="Times New Roman"/>
          <w:color w:val="auto"/>
          <w:highlight w:val="none"/>
          <w:lang w:val="en-US" w:eastAsia="zh-CN"/>
        </w:rPr>
        <w:t>被测试液体积的数值，单位为毫升（mL）；</w:t>
      </w:r>
    </w:p>
    <w:p>
      <w:pPr>
        <w:pStyle w:val="62"/>
        <w:spacing w:line="360" w:lineRule="exact"/>
        <w:ind w:firstLine="420"/>
        <w:rPr>
          <w:rFonts w:ascii="Times New Roman"/>
          <w:color w:val="auto"/>
          <w:highlight w:val="none"/>
        </w:rPr>
      </w:pPr>
      <w:r>
        <w:rPr>
          <w:rFonts w:ascii="Times New Roman"/>
          <w:i/>
          <w:iCs/>
          <w:color w:val="auto"/>
          <w:kern w:val="2"/>
          <w:szCs w:val="21"/>
          <w:highlight w:val="none"/>
        </w:rPr>
        <w:t>ρ</w:t>
      </w:r>
      <w:r>
        <w:rPr>
          <w:rFonts w:hint="eastAsia" w:ascii="Times New Roman"/>
          <w:color w:val="auto"/>
          <w:kern w:val="2"/>
          <w:szCs w:val="21"/>
          <w:highlight w:val="none"/>
          <w:vertAlign w:val="subscript"/>
          <w:lang w:val="en-US" w:eastAsia="zh-CN"/>
        </w:rPr>
        <w:t>Fe</w:t>
      </w:r>
      <w:r>
        <w:rPr>
          <w:rFonts w:ascii="Times New Roman"/>
          <w:color w:val="auto"/>
          <w:highlight w:val="none"/>
        </w:rPr>
        <w:t>——</w:t>
      </w:r>
      <w:r>
        <w:rPr>
          <w:rFonts w:hint="eastAsia" w:ascii="Times New Roman"/>
          <w:color w:val="auto"/>
          <w:highlight w:val="none"/>
          <w:lang w:val="en-US" w:eastAsia="zh-CN"/>
        </w:rPr>
        <w:t>扣除空白后试</w:t>
      </w:r>
      <w:r>
        <w:rPr>
          <w:rFonts w:hint="eastAsia" w:ascii="Times New Roman"/>
          <w:color w:val="auto"/>
          <w:highlight w:val="none"/>
        </w:rPr>
        <w:t>液</w:t>
      </w:r>
      <w:r>
        <w:rPr>
          <w:rFonts w:ascii="Times New Roman"/>
          <w:color w:val="auto"/>
          <w:highlight w:val="none"/>
        </w:rPr>
        <w:t>中</w:t>
      </w:r>
      <w:r>
        <w:rPr>
          <w:rFonts w:hint="eastAsia" w:ascii="Times New Roman"/>
          <w:color w:val="auto"/>
          <w:highlight w:val="none"/>
          <w:lang w:val="en-US" w:eastAsia="zh-CN"/>
        </w:rPr>
        <w:t>铁</w:t>
      </w:r>
      <w:r>
        <w:rPr>
          <w:rFonts w:ascii="Times New Roman"/>
          <w:color w:val="auto"/>
          <w:highlight w:val="none"/>
        </w:rPr>
        <w:t>的质量浓度</w:t>
      </w:r>
      <w:r>
        <w:rPr>
          <w:rFonts w:hint="eastAsia" w:ascii="Times New Roman"/>
          <w:color w:val="auto"/>
          <w:highlight w:val="none"/>
        </w:rPr>
        <w:t>的数值</w:t>
      </w:r>
      <w:r>
        <w:rPr>
          <w:rFonts w:ascii="Times New Roman"/>
          <w:color w:val="auto"/>
          <w:highlight w:val="none"/>
        </w:rPr>
        <w:t>，单位为微克每毫升（μg/mL）；</w:t>
      </w:r>
    </w:p>
    <w:p>
      <w:pPr>
        <w:pStyle w:val="62"/>
        <w:spacing w:line="360" w:lineRule="exact"/>
        <w:ind w:firstLine="420"/>
        <w:rPr>
          <w:rFonts w:hint="eastAsia" w:ascii="Times New Roman"/>
          <w:color w:val="auto"/>
          <w:highlight w:val="none"/>
          <w:lang w:val="en-US" w:eastAsia="zh-CN"/>
        </w:rPr>
      </w:pPr>
      <w:r>
        <w:rPr>
          <w:rFonts w:hint="default" w:ascii="Times New Roman" w:hAnsi="Times New Roman" w:cs="Times New Roman"/>
          <w:color w:val="auto"/>
          <w:highlight w:val="none"/>
        </w:rPr>
        <w:t>ɑ</w:t>
      </w:r>
      <w:r>
        <w:rPr>
          <w:rFonts w:ascii="Times New Roman"/>
          <w:color w:val="auto"/>
          <w:highlight w:val="none"/>
        </w:rPr>
        <w:t>——</w:t>
      </w:r>
      <w:r>
        <w:rPr>
          <w:rFonts w:hint="eastAsia" w:ascii="Times New Roman"/>
          <w:color w:val="auto"/>
          <w:highlight w:val="none"/>
          <w:lang w:val="en-US" w:eastAsia="zh-CN"/>
        </w:rPr>
        <w:t>换算系数，正极材料中铁与钠的摩尔比；</w:t>
      </w:r>
    </w:p>
    <w:p>
      <w:pPr>
        <w:pStyle w:val="62"/>
        <w:spacing w:line="360" w:lineRule="exact"/>
        <w:ind w:firstLine="420"/>
        <w:rPr>
          <w:rFonts w:ascii="Times New Roman"/>
          <w:color w:val="auto"/>
          <w:highlight w:val="none"/>
        </w:rPr>
      </w:pPr>
      <w:r>
        <w:rPr>
          <w:rFonts w:ascii="Times New Roman"/>
          <w:i/>
          <w:iCs/>
          <w:color w:val="auto"/>
          <w:kern w:val="2"/>
          <w:szCs w:val="21"/>
          <w:highlight w:val="none"/>
        </w:rPr>
        <w:t>ρ</w:t>
      </w:r>
      <w:r>
        <w:rPr>
          <w:rFonts w:hint="eastAsia" w:ascii="Times New Roman"/>
          <w:color w:val="auto"/>
          <w:kern w:val="2"/>
          <w:szCs w:val="21"/>
          <w:highlight w:val="none"/>
          <w:vertAlign w:val="subscript"/>
          <w:lang w:val="en-US" w:eastAsia="zh-CN"/>
        </w:rPr>
        <w:t>Na</w:t>
      </w:r>
      <w:r>
        <w:rPr>
          <w:rFonts w:ascii="Times New Roman"/>
          <w:color w:val="auto"/>
          <w:highlight w:val="none"/>
        </w:rPr>
        <w:t>——</w:t>
      </w:r>
      <w:r>
        <w:rPr>
          <w:rFonts w:hint="eastAsia" w:ascii="Times New Roman"/>
          <w:color w:val="auto"/>
          <w:highlight w:val="none"/>
          <w:lang w:val="en-US" w:eastAsia="zh-CN"/>
        </w:rPr>
        <w:t>扣除空白后试</w:t>
      </w:r>
      <w:r>
        <w:rPr>
          <w:rFonts w:hint="eastAsia" w:ascii="Times New Roman"/>
          <w:color w:val="auto"/>
          <w:highlight w:val="none"/>
        </w:rPr>
        <w:t>液</w:t>
      </w:r>
      <w:r>
        <w:rPr>
          <w:rFonts w:ascii="Times New Roman"/>
          <w:color w:val="auto"/>
          <w:highlight w:val="none"/>
        </w:rPr>
        <w:t>中</w:t>
      </w:r>
      <w:r>
        <w:rPr>
          <w:rFonts w:hint="eastAsia" w:ascii="Times New Roman"/>
          <w:color w:val="auto"/>
          <w:highlight w:val="none"/>
          <w:lang w:val="en-US" w:eastAsia="zh-CN"/>
        </w:rPr>
        <w:t>钠</w:t>
      </w:r>
      <w:r>
        <w:rPr>
          <w:rFonts w:ascii="Times New Roman"/>
          <w:color w:val="auto"/>
          <w:highlight w:val="none"/>
        </w:rPr>
        <w:t>的质量浓度</w:t>
      </w:r>
      <w:r>
        <w:rPr>
          <w:rFonts w:hint="eastAsia" w:ascii="Times New Roman"/>
          <w:color w:val="auto"/>
          <w:highlight w:val="none"/>
        </w:rPr>
        <w:t>的数值</w:t>
      </w:r>
      <w:r>
        <w:rPr>
          <w:rFonts w:ascii="Times New Roman"/>
          <w:color w:val="auto"/>
          <w:highlight w:val="none"/>
        </w:rPr>
        <w:t>，单位为微克每毫升（μg/mL）；</w:t>
      </w:r>
    </w:p>
    <w:p>
      <w:pPr>
        <w:pStyle w:val="62"/>
        <w:spacing w:line="360" w:lineRule="exact"/>
        <w:ind w:firstLine="420"/>
        <w:rPr>
          <w:rFonts w:hint="default" w:ascii="Times New Roman" w:eastAsia="宋体"/>
          <w:color w:val="auto"/>
          <w:highlight w:val="none"/>
          <w:lang w:val="en-US" w:eastAsia="zh-CN"/>
        </w:rPr>
      </w:pPr>
      <w:r>
        <w:rPr>
          <w:rFonts w:hint="eastAsia" w:ascii="Times New Roman"/>
          <w:i/>
          <w:iCs/>
          <w:color w:val="auto"/>
          <w:highlight w:val="none"/>
          <w:lang w:val="en-US" w:eastAsia="zh-CN"/>
        </w:rPr>
        <w:t>m</w:t>
      </w:r>
      <w:r>
        <w:rPr>
          <w:rFonts w:ascii="Times New Roman"/>
          <w:color w:val="auto"/>
          <w:highlight w:val="none"/>
        </w:rPr>
        <w:t>——</w:t>
      </w:r>
      <w:r>
        <w:rPr>
          <w:rFonts w:hint="eastAsia" w:ascii="Times New Roman"/>
          <w:color w:val="auto"/>
          <w:highlight w:val="none"/>
          <w:lang w:val="en-US" w:eastAsia="zh-CN"/>
        </w:rPr>
        <w:t>试料质量的数值，单位为克（g）。</w:t>
      </w:r>
    </w:p>
    <w:p>
      <w:pPr>
        <w:adjustRightInd w:val="0"/>
        <w:spacing w:line="400" w:lineRule="exact"/>
        <w:ind w:firstLine="420" w:firstLineChars="200"/>
        <w:rPr>
          <w:rFonts w:ascii="Calibri" w:hAnsi="Calibri"/>
          <w:color w:val="auto"/>
          <w:szCs w:val="20"/>
          <w:highlight w:val="none"/>
          <w14:ligatures w14:val="none"/>
        </w:rPr>
      </w:pPr>
      <w:r>
        <w:rPr>
          <w:rFonts w:ascii="Calibri" w:hAnsi="宋体"/>
          <w:color w:val="auto"/>
          <w:szCs w:val="20"/>
          <w:highlight w:val="none"/>
          <w14:ligatures w14:val="none"/>
        </w:rPr>
        <w:t>试验结果以平行测定结果的算术平均值为测定结果。</w:t>
      </w:r>
      <w:r>
        <w:rPr>
          <w:bCs/>
          <w:color w:val="auto"/>
          <w:szCs w:val="21"/>
          <w:highlight w:val="none"/>
          <w14:ligatures w14:val="none"/>
        </w:rPr>
        <w:t>两次平行测定结果的绝对差值不大于</w:t>
      </w:r>
      <w:r>
        <w:rPr>
          <w:rFonts w:hint="eastAsia"/>
          <w:bCs/>
          <w:color w:val="auto"/>
          <w:szCs w:val="21"/>
          <w:highlight w:val="none"/>
          <w14:ligatures w14:val="none"/>
        </w:rPr>
        <w:t>0.000 1%</w:t>
      </w:r>
      <w:r>
        <w:rPr>
          <w:rFonts w:ascii="Calibri" w:hAnsi="宋体"/>
          <w:color w:val="auto"/>
          <w:szCs w:val="20"/>
          <w:highlight w:val="none"/>
          <w14:ligatures w14:val="none"/>
        </w:rPr>
        <w:t>。</w:t>
      </w:r>
    </w:p>
    <w:p>
      <w:pPr>
        <w:pStyle w:val="111"/>
        <w:spacing w:before="120" w:after="120"/>
        <w:rPr>
          <w:rFonts w:ascii="Times New Roman"/>
          <w:color w:val="auto"/>
          <w:highlight w:val="none"/>
        </w:rPr>
      </w:pPr>
      <w:r>
        <w:rPr>
          <w:rFonts w:hint="eastAsia" w:ascii="Times New Roman"/>
          <w:color w:val="auto"/>
          <w:highlight w:val="none"/>
        </w:rPr>
        <w:t>水分的测定</w:t>
      </w:r>
    </w:p>
    <w:p>
      <w:pPr>
        <w:widowControl/>
        <w:autoSpaceDE w:val="0"/>
        <w:autoSpaceDN w:val="0"/>
        <w:adjustRightInd/>
        <w:spacing w:line="360" w:lineRule="exact"/>
        <w:ind w:firstLine="420" w:firstLineChars="200"/>
        <w:rPr>
          <w:rFonts w:ascii="Times New Roman" w:hAnsi="Times New Roman"/>
          <w:color w:val="auto"/>
          <w:szCs w:val="28"/>
          <w:highlight w:val="none"/>
        </w:rPr>
      </w:pPr>
      <w:r>
        <w:rPr>
          <w:rFonts w:hint="eastAsia" w:ascii="Times New Roman" w:hAnsi="Times New Roman"/>
          <w:color w:val="auto"/>
          <w:szCs w:val="28"/>
          <w:highlight w:val="none"/>
        </w:rPr>
        <w:t>按GB/T 6283</w:t>
      </w:r>
      <w:r>
        <w:rPr>
          <w:rFonts w:hint="eastAsia" w:ascii="宋体" w:hAnsi="宋体" w:cs="宋体"/>
          <w:color w:val="auto"/>
          <w:highlight w:val="none"/>
        </w:rPr>
        <w:t>的规定进行测定</w:t>
      </w:r>
      <w:r>
        <w:rPr>
          <w:rFonts w:hint="eastAsia" w:ascii="Times New Roman" w:hAnsi="Times New Roman"/>
          <w:color w:val="auto"/>
          <w:szCs w:val="28"/>
          <w:highlight w:val="none"/>
        </w:rPr>
        <w:t>。</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hint="eastAsia" w:ascii="Times New Roman" w:hAnsi="Times New Roman" w:eastAsia="黑体"/>
          <w:color w:val="auto"/>
          <w:kern w:val="0"/>
          <w:szCs w:val="20"/>
          <w:highlight w:val="none"/>
        </w:rPr>
        <w:t>p</w:t>
      </w:r>
      <w:r>
        <w:rPr>
          <w:rFonts w:ascii="Times New Roman" w:hAnsi="Times New Roman" w:eastAsia="黑体"/>
          <w:color w:val="auto"/>
          <w:kern w:val="0"/>
          <w:szCs w:val="20"/>
          <w:highlight w:val="none"/>
        </w:rPr>
        <w:t>H</w:t>
      </w:r>
      <w:r>
        <w:rPr>
          <w:rFonts w:hint="eastAsia" w:ascii="Times New Roman" w:hAnsi="Times New Roman" w:eastAsia="黑体"/>
          <w:color w:val="auto"/>
          <w:kern w:val="0"/>
          <w:szCs w:val="20"/>
          <w:highlight w:val="none"/>
        </w:rPr>
        <w:t>的测定</w:t>
      </w:r>
    </w:p>
    <w:p>
      <w:pPr>
        <w:widowControl/>
        <w:adjustRightInd/>
        <w:spacing w:beforeLines="50" w:afterLines="50" w:line="360" w:lineRule="exact"/>
        <w:ind w:firstLine="420" w:firstLineChars="200"/>
        <w:outlineLvl w:val="1"/>
        <w:rPr>
          <w:rFonts w:ascii="Times New Roman" w:hAnsi="Times New Roman"/>
          <w:color w:val="auto"/>
          <w:szCs w:val="28"/>
          <w:highlight w:val="none"/>
        </w:rPr>
      </w:pPr>
      <w:r>
        <w:rPr>
          <w:rFonts w:hint="eastAsia" w:ascii="Times New Roman" w:hAnsi="Times New Roman"/>
          <w:color w:val="auto"/>
          <w:szCs w:val="28"/>
          <w:highlight w:val="none"/>
        </w:rPr>
        <w:t>按GB/T 9724</w:t>
      </w:r>
      <w:r>
        <w:rPr>
          <w:rFonts w:hint="eastAsia" w:ascii="宋体" w:hAnsi="宋体" w:cs="宋体"/>
          <w:color w:val="auto"/>
          <w:highlight w:val="none"/>
        </w:rPr>
        <w:t>的规定进行测定</w:t>
      </w:r>
      <w:r>
        <w:rPr>
          <w:rFonts w:hint="eastAsia" w:ascii="Times New Roman" w:hAnsi="Times New Roman"/>
          <w:color w:val="auto"/>
          <w:szCs w:val="28"/>
          <w:highlight w:val="none"/>
        </w:rPr>
        <w:t>。</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hint="eastAsia" w:ascii="Times New Roman" w:hAnsi="Times New Roman" w:eastAsia="黑体"/>
          <w:color w:val="auto"/>
          <w:kern w:val="0"/>
          <w:szCs w:val="20"/>
          <w:highlight w:val="none"/>
        </w:rPr>
        <w:t>振实密度的测定</w:t>
      </w:r>
    </w:p>
    <w:p>
      <w:pPr>
        <w:widowControl/>
        <w:autoSpaceDE w:val="0"/>
        <w:autoSpaceDN w:val="0"/>
        <w:adjustRightInd/>
        <w:spacing w:line="360" w:lineRule="exact"/>
        <w:ind w:firstLine="420" w:firstLineChars="200"/>
        <w:rPr>
          <w:rFonts w:ascii="Times New Roman" w:hAnsi="Times New Roman"/>
          <w:color w:val="auto"/>
          <w:szCs w:val="28"/>
          <w:highlight w:val="none"/>
        </w:rPr>
      </w:pPr>
      <w:r>
        <w:rPr>
          <w:rFonts w:hint="eastAsia" w:ascii="Times New Roman" w:hAnsi="Times New Roman"/>
          <w:color w:val="auto"/>
          <w:szCs w:val="28"/>
          <w:highlight w:val="none"/>
        </w:rPr>
        <w:t>按GB/T 5162</w:t>
      </w:r>
      <w:r>
        <w:rPr>
          <w:rFonts w:hint="eastAsia" w:ascii="宋体" w:hAnsi="宋体" w:cs="宋体"/>
          <w:color w:val="auto"/>
          <w:highlight w:val="none"/>
        </w:rPr>
        <w:t>的规定进行测定</w:t>
      </w:r>
      <w:r>
        <w:rPr>
          <w:rFonts w:hint="eastAsia" w:ascii="Times New Roman" w:hAnsi="Times New Roman"/>
          <w:color w:val="auto"/>
          <w:szCs w:val="28"/>
          <w:highlight w:val="none"/>
        </w:rPr>
        <w:t>。</w:t>
      </w:r>
    </w:p>
    <w:p>
      <w:pPr>
        <w:widowControl/>
        <w:numPr>
          <w:ilvl w:val="2"/>
          <w:numId w:val="2"/>
        </w:numPr>
        <w:adjustRightInd/>
        <w:spacing w:beforeLines="50" w:afterLines="50" w:line="360" w:lineRule="exact"/>
        <w:outlineLvl w:val="1"/>
        <w:rPr>
          <w:rFonts w:ascii="黑体" w:hAnsi="黑体" w:eastAsia="黑体"/>
          <w:color w:val="auto"/>
          <w:kern w:val="0"/>
          <w:szCs w:val="20"/>
          <w:highlight w:val="none"/>
        </w:rPr>
      </w:pPr>
      <w:r>
        <w:rPr>
          <w:rFonts w:hint="eastAsia" w:ascii="黑体" w:hAnsi="黑体" w:eastAsia="黑体"/>
          <w:color w:val="auto"/>
          <w:kern w:val="0"/>
          <w:szCs w:val="20"/>
          <w:highlight w:val="none"/>
        </w:rPr>
        <w:t>粒度分布</w:t>
      </w:r>
      <w:r>
        <w:rPr>
          <w:rFonts w:hint="eastAsia" w:ascii="Times New Roman" w:hAnsi="Times New Roman" w:eastAsia="黑体"/>
          <w:color w:val="auto"/>
          <w:kern w:val="0"/>
          <w:szCs w:val="20"/>
          <w:highlight w:val="none"/>
        </w:rPr>
        <w:t>的测定</w:t>
      </w:r>
    </w:p>
    <w:p>
      <w:pPr>
        <w:widowControl/>
        <w:adjustRightInd/>
        <w:spacing w:beforeLines="50" w:afterLines="50" w:line="360" w:lineRule="exact"/>
        <w:ind w:firstLine="420" w:firstLineChars="200"/>
        <w:outlineLvl w:val="1"/>
        <w:rPr>
          <w:rFonts w:ascii="Times New Roman" w:hAnsi="Times New Roman"/>
          <w:color w:val="auto"/>
          <w:szCs w:val="28"/>
          <w:highlight w:val="none"/>
        </w:rPr>
      </w:pPr>
      <w:r>
        <w:rPr>
          <w:rFonts w:hint="eastAsia" w:ascii="Times New Roman" w:hAnsi="Times New Roman"/>
          <w:color w:val="auto"/>
          <w:szCs w:val="28"/>
          <w:highlight w:val="none"/>
        </w:rPr>
        <w:t>按GB/T 19077</w:t>
      </w:r>
      <w:r>
        <w:rPr>
          <w:rFonts w:hint="eastAsia" w:ascii="宋体" w:hAnsi="宋体" w:cs="宋体"/>
          <w:color w:val="auto"/>
          <w:highlight w:val="none"/>
        </w:rPr>
        <w:t>规定方法测定</w:t>
      </w:r>
      <w:r>
        <w:rPr>
          <w:rFonts w:hint="eastAsia" w:ascii="Times New Roman" w:hAnsi="Times New Roman"/>
          <w:color w:val="auto"/>
          <w:szCs w:val="28"/>
          <w:highlight w:val="none"/>
        </w:rPr>
        <w:t>。</w:t>
      </w:r>
    </w:p>
    <w:p>
      <w:pPr>
        <w:widowControl/>
        <w:numPr>
          <w:ilvl w:val="2"/>
          <w:numId w:val="2"/>
        </w:numPr>
        <w:adjustRightInd/>
        <w:spacing w:beforeLines="50" w:afterLines="50" w:line="360" w:lineRule="exact"/>
        <w:outlineLvl w:val="1"/>
        <w:rPr>
          <w:rFonts w:ascii="黑体" w:hAnsi="黑体" w:eastAsia="黑体"/>
          <w:color w:val="auto"/>
          <w:kern w:val="0"/>
          <w:szCs w:val="20"/>
          <w:highlight w:val="none"/>
        </w:rPr>
      </w:pPr>
      <w:r>
        <w:rPr>
          <w:rFonts w:hint="eastAsia" w:ascii="黑体" w:hAnsi="黑体" w:eastAsia="黑体"/>
          <w:color w:val="auto"/>
          <w:kern w:val="0"/>
          <w:szCs w:val="20"/>
          <w:highlight w:val="none"/>
        </w:rPr>
        <w:t>比表面积</w:t>
      </w:r>
    </w:p>
    <w:p>
      <w:pPr>
        <w:widowControl/>
        <w:adjustRightInd/>
        <w:spacing w:beforeLines="50" w:afterLines="50" w:line="360" w:lineRule="exact"/>
        <w:ind w:firstLine="420"/>
        <w:outlineLvl w:val="1"/>
        <w:rPr>
          <w:rFonts w:hint="default" w:ascii="Times New Roman" w:hAnsi="Times New Roman" w:cs="Times New Roman"/>
          <w:color w:val="auto"/>
          <w:kern w:val="0"/>
          <w:szCs w:val="20"/>
          <w:highlight w:val="none"/>
          <w:lang w:val="en-US" w:eastAsia="zh-CN"/>
        </w:rPr>
      </w:pPr>
      <w:r>
        <w:rPr>
          <w:rFonts w:hint="default" w:ascii="Times New Roman" w:hAnsi="Times New Roman" w:cs="Times New Roman"/>
          <w:color w:val="auto"/>
          <w:kern w:val="0"/>
          <w:szCs w:val="20"/>
          <w:highlight w:val="none"/>
        </w:rPr>
        <w:t>按GB/T 19587</w:t>
      </w:r>
      <w:r>
        <w:rPr>
          <w:rFonts w:hint="default" w:ascii="Times New Roman" w:hAnsi="Times New Roman" w:cs="Times New Roman"/>
          <w:color w:val="auto"/>
          <w:highlight w:val="none"/>
        </w:rPr>
        <w:t>的规定进行测定</w:t>
      </w:r>
      <w:r>
        <w:rPr>
          <w:rFonts w:hint="default" w:ascii="Times New Roman" w:hAnsi="Times New Roman" w:cs="Times New Roman"/>
          <w:color w:val="auto"/>
          <w:kern w:val="0"/>
          <w:szCs w:val="20"/>
          <w:highlight w:val="none"/>
        </w:rPr>
        <w:t>。</w:t>
      </w:r>
      <w:r>
        <w:rPr>
          <w:rFonts w:ascii="Times New Roman" w:hAnsi="宋体"/>
          <w:color w:val="auto"/>
          <w:highlight w:val="none"/>
        </w:rPr>
        <w:t>称取</w:t>
      </w:r>
      <w:r>
        <w:rPr>
          <w:rFonts w:hint="eastAsia" w:ascii="Times New Roman" w:hAnsi="Times New Roman"/>
          <w:color w:val="auto"/>
          <w:highlight w:val="none"/>
          <w:lang w:val="en-US" w:eastAsia="zh-CN"/>
        </w:rPr>
        <w:t>适量</w:t>
      </w:r>
      <w:r>
        <w:rPr>
          <w:rFonts w:ascii="Times New Roman" w:hAnsi="宋体"/>
          <w:color w:val="auto"/>
          <w:highlight w:val="none"/>
        </w:rPr>
        <w:t>试样，精确至</w:t>
      </w:r>
      <w:r>
        <w:rPr>
          <w:rFonts w:ascii="Times New Roman" w:hAnsi="Times New Roman"/>
          <w:color w:val="auto"/>
          <w:highlight w:val="none"/>
        </w:rPr>
        <w:t>0.0002 g</w:t>
      </w:r>
      <w:r>
        <w:rPr>
          <w:rFonts w:ascii="Times New Roman" w:hAnsi="宋体"/>
          <w:color w:val="auto"/>
          <w:highlight w:val="none"/>
        </w:rPr>
        <w:t>，置于样品管中，</w:t>
      </w:r>
      <w:r>
        <w:rPr>
          <w:rFonts w:hint="eastAsia" w:ascii="Times New Roman" w:hAnsi="宋体"/>
          <w:color w:val="auto"/>
          <w:highlight w:val="none"/>
          <w:lang w:val="en-US" w:eastAsia="zh-CN"/>
        </w:rPr>
        <w:t>在</w:t>
      </w:r>
      <w:r>
        <w:rPr>
          <w:rFonts w:hint="default" w:ascii="Times New Roman" w:hAnsi="Times New Roman" w:cs="Times New Roman"/>
          <w:color w:val="auto"/>
          <w:kern w:val="0"/>
          <w:szCs w:val="20"/>
          <w:highlight w:val="none"/>
          <w:lang w:val="en-US" w:eastAsia="zh-CN"/>
        </w:rPr>
        <w:t>脱气温度不低于150</w:t>
      </w:r>
      <w:r>
        <w:rPr>
          <w:rFonts w:hint="default" w:ascii="Times New Roman" w:hAnsi="Times New Roman" w:eastAsia="宋体" w:cs="Times New Roman"/>
          <w:color w:val="auto"/>
          <w:kern w:val="0"/>
          <w:szCs w:val="20"/>
          <w:highlight w:val="none"/>
          <w:lang w:val="en-US" w:eastAsia="zh-CN"/>
        </w:rPr>
        <w:t>℃</w:t>
      </w:r>
      <w:r>
        <w:rPr>
          <w:rFonts w:hint="default" w:ascii="Times New Roman" w:hAnsi="Times New Roman" w:cs="Times New Roman"/>
          <w:color w:val="auto"/>
          <w:kern w:val="0"/>
          <w:szCs w:val="20"/>
          <w:highlight w:val="none"/>
          <w:lang w:val="en-US" w:eastAsia="zh-CN"/>
        </w:rPr>
        <w:t>，脱气时间不少于2 h</w:t>
      </w:r>
      <w:r>
        <w:rPr>
          <w:rFonts w:hint="eastAsia" w:ascii="Times New Roman" w:hAnsi="Times New Roman" w:cs="Times New Roman"/>
          <w:color w:val="auto"/>
          <w:kern w:val="0"/>
          <w:szCs w:val="20"/>
          <w:highlight w:val="none"/>
          <w:lang w:val="en-US" w:eastAsia="zh-CN"/>
        </w:rPr>
        <w:t>的条件下进行脱气</w:t>
      </w:r>
      <w:r>
        <w:rPr>
          <w:rFonts w:hint="default" w:ascii="Times New Roman" w:hAnsi="Times New Roman" w:cs="Times New Roman"/>
          <w:color w:val="auto"/>
          <w:kern w:val="0"/>
          <w:szCs w:val="20"/>
          <w:highlight w:val="none"/>
          <w:lang w:val="en-US" w:eastAsia="zh-CN"/>
        </w:rPr>
        <w:t>。</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hint="eastAsia" w:ascii="Times New Roman" w:hAnsi="Times New Roman" w:eastAsia="黑体"/>
          <w:color w:val="auto"/>
          <w:kern w:val="0"/>
          <w:szCs w:val="20"/>
          <w:highlight w:val="none"/>
        </w:rPr>
        <w:t>首次放电比容量、首次充放点效率和循环寿命的测定</w:t>
      </w:r>
    </w:p>
    <w:p>
      <w:pPr>
        <w:pStyle w:val="71"/>
        <w:spacing w:before="120" w:after="120" w:line="360" w:lineRule="exact"/>
        <w:ind w:left="0"/>
        <w:rPr>
          <w:color w:val="auto"/>
          <w:highlight w:val="none"/>
        </w:rPr>
      </w:pPr>
      <w:r>
        <w:rPr>
          <w:rFonts w:hint="eastAsia"/>
          <w:color w:val="auto"/>
          <w:highlight w:val="none"/>
        </w:rPr>
        <w:t>试剂和材料</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铜铁锰酸钠。</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钠离子电池电解液：碳酸乙烯酯（EC）与碳酸二乙酯（DEC）体积比1:1，含1mol/L 六氟磷酸钠（NaPF</w:t>
      </w:r>
      <w:r>
        <w:rPr>
          <w:rFonts w:hint="eastAsia" w:ascii="Times New Roman" w:hAnsi="Times New Roman"/>
          <w:color w:val="auto"/>
          <w:kern w:val="0"/>
          <w:szCs w:val="20"/>
          <w:highlight w:val="none"/>
          <w:vertAlign w:val="subscript"/>
        </w:rPr>
        <w:t>6</w:t>
      </w:r>
      <w:r>
        <w:rPr>
          <w:rFonts w:hint="eastAsia" w:ascii="Times New Roman" w:hAnsi="Times New Roman"/>
          <w:color w:val="auto"/>
          <w:kern w:val="0"/>
          <w:szCs w:val="20"/>
          <w:highlight w:val="none"/>
        </w:rPr>
        <w:t>）。</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N-甲基吡咯烷酮：电池级，纯度不小于99.9 %</w:t>
      </w:r>
      <w:r>
        <w:rPr>
          <w:rFonts w:hint="eastAsia" w:ascii="Times New Roman"/>
          <w:color w:val="auto"/>
          <w:highlight w:val="none"/>
        </w:rPr>
        <w:t>（质量分数）</w:t>
      </w:r>
      <w:r>
        <w:rPr>
          <w:rFonts w:hint="eastAsia" w:ascii="Times New Roman" w:hAnsi="Times New Roman"/>
          <w:color w:val="auto"/>
          <w:kern w:val="0"/>
          <w:szCs w:val="20"/>
          <w:highlight w:val="none"/>
        </w:rPr>
        <w:t>，水分不大于0.02 %</w:t>
      </w:r>
      <w:r>
        <w:rPr>
          <w:rFonts w:hint="eastAsia" w:ascii="Times New Roman"/>
          <w:color w:val="auto"/>
          <w:highlight w:val="none"/>
        </w:rPr>
        <w:t>（质量分数）</w:t>
      </w:r>
      <w:r>
        <w:rPr>
          <w:rFonts w:hint="eastAsia" w:ascii="Times New Roman" w:hAnsi="Times New Roman"/>
          <w:color w:val="auto"/>
          <w:kern w:val="0"/>
          <w:szCs w:val="20"/>
          <w:highlight w:val="none"/>
        </w:rPr>
        <w:t>。</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粘结剂：聚偏二氟乙烯（PVDF），电池级，平均分子量不小于5×10</w:t>
      </w:r>
      <w:r>
        <w:rPr>
          <w:rFonts w:hint="eastAsia" w:ascii="Times New Roman" w:hAnsi="Times New Roman"/>
          <w:color w:val="auto"/>
          <w:kern w:val="0"/>
          <w:szCs w:val="20"/>
          <w:highlight w:val="none"/>
          <w:vertAlign w:val="superscript"/>
        </w:rPr>
        <w:t>5</w:t>
      </w:r>
      <w:r>
        <w:rPr>
          <w:rFonts w:hint="eastAsia" w:ascii="Times New Roman" w:hAnsi="Times New Roman"/>
          <w:color w:val="auto"/>
          <w:kern w:val="0"/>
          <w:szCs w:val="20"/>
          <w:highlight w:val="none"/>
        </w:rPr>
        <w:t>，水分不大于0.10 %</w:t>
      </w:r>
      <w:r>
        <w:rPr>
          <w:rFonts w:hint="eastAsia" w:ascii="Times New Roman"/>
          <w:color w:val="auto"/>
          <w:highlight w:val="none"/>
        </w:rPr>
        <w:t>（质量分数）</w:t>
      </w:r>
      <w:r>
        <w:rPr>
          <w:rFonts w:hint="eastAsia" w:ascii="Times New Roman" w:hAnsi="Times New Roman"/>
          <w:color w:val="auto"/>
          <w:kern w:val="0"/>
          <w:szCs w:val="20"/>
          <w:highlight w:val="none"/>
        </w:rPr>
        <w:t>。</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导电剂：乙炔黑或导电炭黑。</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铝箔：电池级，厚度为10</w:t>
      </w:r>
      <w:r>
        <w:rPr>
          <w:rFonts w:ascii="Times New Roman" w:hAnsi="Times New Roman"/>
          <w:color w:val="auto"/>
          <w:kern w:val="0"/>
          <w:szCs w:val="20"/>
          <w:highlight w:val="none"/>
        </w:rPr>
        <w:t xml:space="preserve"> μ</w:t>
      </w:r>
      <w:r>
        <w:rPr>
          <w:rFonts w:hint="eastAsia" w:ascii="Times New Roman" w:hAnsi="Times New Roman"/>
          <w:color w:val="auto"/>
          <w:kern w:val="0"/>
          <w:szCs w:val="20"/>
          <w:highlight w:val="none"/>
        </w:rPr>
        <w:t>m</w:t>
      </w:r>
      <w:r>
        <w:rPr>
          <w:rFonts w:hint="eastAsia" w:ascii="宋体" w:hAnsi="宋体" w:cs="宋体"/>
          <w:color w:val="auto"/>
          <w:kern w:val="0"/>
          <w:szCs w:val="20"/>
          <w:highlight w:val="none"/>
        </w:rPr>
        <w:t>～</w:t>
      </w:r>
      <w:r>
        <w:rPr>
          <w:rFonts w:hint="eastAsia" w:ascii="Times New Roman" w:hAnsi="Times New Roman"/>
          <w:color w:val="auto"/>
          <w:kern w:val="0"/>
          <w:szCs w:val="20"/>
          <w:highlight w:val="none"/>
        </w:rPr>
        <w:t>2</w:t>
      </w:r>
      <w:r>
        <w:rPr>
          <w:rFonts w:ascii="Times New Roman" w:hAnsi="Times New Roman"/>
          <w:color w:val="auto"/>
          <w:kern w:val="0"/>
          <w:szCs w:val="20"/>
          <w:highlight w:val="none"/>
        </w:rPr>
        <w:t>0 μ</w:t>
      </w:r>
      <w:r>
        <w:rPr>
          <w:rFonts w:hint="eastAsia" w:ascii="Times New Roman" w:hAnsi="Times New Roman"/>
          <w:color w:val="auto"/>
          <w:kern w:val="0"/>
          <w:szCs w:val="20"/>
          <w:highlight w:val="none"/>
        </w:rPr>
        <w:t>m 。</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钠片：厚度为0.4</w:t>
      </w:r>
      <w:r>
        <w:rPr>
          <w:rFonts w:ascii="Times New Roman" w:hAnsi="Times New Roman"/>
          <w:color w:val="auto"/>
          <w:kern w:val="0"/>
          <w:szCs w:val="20"/>
          <w:highlight w:val="none"/>
        </w:rPr>
        <w:t xml:space="preserve"> </w:t>
      </w:r>
      <w:r>
        <w:rPr>
          <w:rFonts w:hint="eastAsia" w:ascii="Times New Roman" w:hAnsi="Times New Roman"/>
          <w:color w:val="auto"/>
          <w:kern w:val="0"/>
          <w:szCs w:val="20"/>
          <w:highlight w:val="none"/>
        </w:rPr>
        <w:t>mm</w:t>
      </w:r>
      <w:r>
        <w:rPr>
          <w:rFonts w:hint="eastAsia" w:ascii="宋体" w:hAnsi="宋体" w:cs="宋体"/>
          <w:color w:val="auto"/>
          <w:kern w:val="0"/>
          <w:szCs w:val="20"/>
          <w:highlight w:val="none"/>
        </w:rPr>
        <w:t>～</w:t>
      </w:r>
      <w:r>
        <w:rPr>
          <w:rFonts w:hint="eastAsia" w:ascii="Times New Roman" w:hAnsi="Times New Roman"/>
          <w:color w:val="auto"/>
          <w:kern w:val="0"/>
          <w:szCs w:val="20"/>
          <w:highlight w:val="none"/>
        </w:rPr>
        <w:t>0.6</w:t>
      </w:r>
      <w:r>
        <w:rPr>
          <w:rFonts w:ascii="Times New Roman" w:hAnsi="Times New Roman"/>
          <w:color w:val="auto"/>
          <w:kern w:val="0"/>
          <w:szCs w:val="20"/>
          <w:highlight w:val="none"/>
        </w:rPr>
        <w:t xml:space="preserve"> </w:t>
      </w:r>
      <w:r>
        <w:rPr>
          <w:rFonts w:hint="eastAsia" w:ascii="Times New Roman" w:hAnsi="Times New Roman"/>
          <w:color w:val="auto"/>
          <w:kern w:val="0"/>
          <w:szCs w:val="20"/>
          <w:highlight w:val="none"/>
        </w:rPr>
        <w:t>mm。</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隔膜：聚烯烃多孔膜或玻璃纤维隔膜。</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电池标准结构件：</w:t>
      </w:r>
      <w:r>
        <w:rPr>
          <w:rFonts w:hint="eastAsia" w:ascii="Times New Roman"/>
          <w:color w:val="auto"/>
          <w:highlight w:val="none"/>
        </w:rPr>
        <w:t>包括正极壳、负极壳、垫片和弹簧支撑片等，使用前用无水乙醇进行预处理并烘干备用</w:t>
      </w:r>
      <w:r>
        <w:rPr>
          <w:rFonts w:hint="eastAsia" w:ascii="Times New Roman" w:hAnsi="Times New Roman"/>
          <w:color w:val="auto"/>
          <w:kern w:val="0"/>
          <w:szCs w:val="20"/>
          <w:highlight w:val="none"/>
        </w:rPr>
        <w:t>。</w:t>
      </w:r>
    </w:p>
    <w:p>
      <w:pPr>
        <w:pStyle w:val="71"/>
        <w:spacing w:before="120" w:after="120" w:line="360" w:lineRule="exact"/>
        <w:ind w:left="0"/>
        <w:rPr>
          <w:color w:val="auto"/>
          <w:highlight w:val="none"/>
        </w:rPr>
      </w:pPr>
      <w:r>
        <w:rPr>
          <w:rFonts w:hint="eastAsia"/>
          <w:color w:val="auto"/>
          <w:highlight w:val="none"/>
        </w:rPr>
        <w:t>仪器设备</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分散搅拌机。</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平板涂覆机。</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真空干燥箱：温度能控制在</w:t>
      </w:r>
      <w:r>
        <w:rPr>
          <w:rFonts w:hint="eastAsia" w:ascii="Times New Roman"/>
          <w:color w:val="auto"/>
          <w:highlight w:val="none"/>
        </w:rPr>
        <w:t>1</w:t>
      </w:r>
      <w:r>
        <w:rPr>
          <w:rFonts w:hint="eastAsia" w:ascii="Times New Roman"/>
          <w:color w:val="auto"/>
          <w:highlight w:val="none"/>
          <w:lang w:val="en-US" w:eastAsia="zh-CN"/>
        </w:rPr>
        <w:t>0</w:t>
      </w:r>
      <w:r>
        <w:rPr>
          <w:rFonts w:hint="eastAsia" w:ascii="Times New Roman"/>
          <w:color w:val="auto"/>
          <w:highlight w:val="none"/>
        </w:rPr>
        <w:t>0℃±2℃，真空度（绝对压力）能控制在</w:t>
      </w:r>
      <w:r>
        <w:rPr>
          <w:rFonts w:ascii="Times New Roman"/>
          <w:color w:val="auto"/>
          <w:highlight w:val="none"/>
        </w:rPr>
        <w:t>66 Kpa</w:t>
      </w:r>
      <w:r>
        <w:rPr>
          <w:rFonts w:ascii="Times New Roman" w:hAnsi="Times New Roman"/>
          <w:color w:val="auto"/>
          <w:highlight w:val="none"/>
        </w:rPr>
        <w:t>～</w:t>
      </w:r>
      <w:r>
        <w:rPr>
          <w:rFonts w:hint="eastAsia" w:ascii="Times New Roman"/>
          <w:color w:val="auto"/>
          <w:highlight w:val="none"/>
          <w:lang w:val="en-US" w:eastAsia="zh-CN"/>
        </w:rPr>
        <w:t>85</w:t>
      </w:r>
      <w:r>
        <w:rPr>
          <w:rFonts w:hint="eastAsia" w:ascii="Times New Roman"/>
          <w:color w:val="auto"/>
          <w:highlight w:val="none"/>
        </w:rPr>
        <w:t xml:space="preserve"> </w:t>
      </w:r>
      <w:r>
        <w:rPr>
          <w:rFonts w:ascii="Times New Roman"/>
          <w:color w:val="auto"/>
          <w:highlight w:val="none"/>
        </w:rPr>
        <w:t>Kpa</w:t>
      </w:r>
      <w:r>
        <w:rPr>
          <w:rFonts w:hint="eastAsia" w:ascii="Times New Roman" w:hAnsi="Times New Roman"/>
          <w:color w:val="auto"/>
          <w:kern w:val="0"/>
          <w:szCs w:val="20"/>
          <w:highlight w:val="none"/>
        </w:rPr>
        <w:t>。</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冲片机。</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对辊机。</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惰性气氛手套箱：水分、氧含量均不大于0.00001 %。</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恒温箱：温度25 ℃±0.5 ℃，相对湿度小于40 %。</w:t>
      </w:r>
    </w:p>
    <w:p>
      <w:pPr>
        <w:widowControl/>
        <w:numPr>
          <w:ilvl w:val="4"/>
          <w:numId w:val="2"/>
        </w:numPr>
        <w:adjustRightInd/>
        <w:spacing w:line="360" w:lineRule="exact"/>
        <w:outlineLvl w:val="3"/>
        <w:rPr>
          <w:rFonts w:ascii="Times New Roman" w:hAnsi="Times New Roman"/>
          <w:color w:val="auto"/>
          <w:kern w:val="0"/>
          <w:szCs w:val="20"/>
          <w:highlight w:val="none"/>
        </w:rPr>
      </w:pPr>
      <w:r>
        <w:rPr>
          <w:rFonts w:hint="eastAsia" w:ascii="Times New Roman" w:hAnsi="Times New Roman"/>
          <w:color w:val="auto"/>
          <w:kern w:val="0"/>
          <w:szCs w:val="20"/>
          <w:highlight w:val="none"/>
        </w:rPr>
        <w:t>电化学性能测试仪：电流电压满量程精度为0.1 %。</w:t>
      </w:r>
    </w:p>
    <w:p>
      <w:pPr>
        <w:pStyle w:val="71"/>
        <w:spacing w:before="120" w:after="120" w:line="360" w:lineRule="exact"/>
        <w:ind w:left="0"/>
        <w:rPr>
          <w:color w:val="auto"/>
          <w:highlight w:val="none"/>
        </w:rPr>
      </w:pPr>
      <w:r>
        <w:rPr>
          <w:rFonts w:hint="eastAsia"/>
          <w:color w:val="auto"/>
          <w:highlight w:val="none"/>
        </w:rPr>
        <w:t>正极片的制备</w:t>
      </w:r>
    </w:p>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称量物料</w:t>
      </w:r>
    </w:p>
    <w:p>
      <w:pPr>
        <w:pStyle w:val="62"/>
        <w:spacing w:line="360" w:lineRule="exact"/>
        <w:ind w:firstLine="420"/>
        <w:rPr>
          <w:rFonts w:ascii="Times New Roman"/>
          <w:color w:val="auto"/>
          <w:sz w:val="18"/>
          <w:szCs w:val="18"/>
          <w:highlight w:val="none"/>
        </w:rPr>
      </w:pPr>
      <w:r>
        <w:rPr>
          <w:rFonts w:hint="eastAsia" w:ascii="Times New Roman"/>
          <w:color w:val="auto"/>
          <w:highlight w:val="none"/>
        </w:rPr>
        <w:t>按一定配比分别称取铜铁锰酸钠、导电剂、N-甲基吡咯烷酮和粘结剂，精确到0.0002 g。</w:t>
      </w:r>
    </w:p>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正极浆料的制备</w:t>
      </w:r>
    </w:p>
    <w:p>
      <w:pPr>
        <w:pStyle w:val="218"/>
        <w:numPr>
          <w:ilvl w:val="2"/>
          <w:numId w:val="0"/>
        </w:numPr>
        <w:spacing w:line="360" w:lineRule="exact"/>
        <w:ind w:firstLine="420" w:firstLineChars="200"/>
        <w:rPr>
          <w:rFonts w:ascii="Times New Roman"/>
          <w:color w:val="auto"/>
          <w:highlight w:val="none"/>
        </w:rPr>
      </w:pPr>
      <w:r>
        <w:rPr>
          <w:rFonts w:hint="eastAsia" w:ascii="Times New Roman"/>
          <w:color w:val="auto"/>
          <w:highlight w:val="none"/>
        </w:rPr>
        <w:t>将称量的N-甲基吡咯烷酮、粘结剂加入烧杯中，将烧杯置于分散搅拌机下，分散搅拌直至粘结剂完全溶解，配成无色透明胶液。将称量的导电剂加入到上述无色透明胶液中，进行混合搅拌。缓慢加入称量的铜铁锰酸钠，分散搅拌均匀，使各种物料均匀混合。</w:t>
      </w:r>
    </w:p>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正极片涂覆</w:t>
      </w:r>
    </w:p>
    <w:p>
      <w:pPr>
        <w:pStyle w:val="218"/>
        <w:numPr>
          <w:ilvl w:val="2"/>
          <w:numId w:val="0"/>
        </w:numPr>
        <w:spacing w:line="360" w:lineRule="exact"/>
        <w:ind w:firstLine="420" w:firstLineChars="200"/>
        <w:rPr>
          <w:rFonts w:ascii="Times New Roman"/>
          <w:color w:val="auto"/>
          <w:highlight w:val="none"/>
        </w:rPr>
      </w:pPr>
      <w:r>
        <w:rPr>
          <w:rFonts w:hint="eastAsia" w:ascii="Times New Roman"/>
          <w:color w:val="auto"/>
          <w:highlight w:val="none"/>
        </w:rPr>
        <w:t>用平板涂覆机将混合后的正极浆料均匀涂覆在铝箔的一面上。将涂覆后的正极片置于真空度</w:t>
      </w:r>
      <w:r>
        <w:rPr>
          <w:rFonts w:hint="eastAsia" w:ascii="Times New Roman"/>
          <w:color w:val="auto"/>
          <w:highlight w:val="none"/>
          <w:lang w:val="en-US" w:eastAsia="zh-CN"/>
        </w:rPr>
        <w:t>为</w:t>
      </w:r>
      <w:r>
        <w:rPr>
          <w:rFonts w:ascii="Times New Roman"/>
          <w:color w:val="auto"/>
          <w:highlight w:val="none"/>
        </w:rPr>
        <w:t>66 Kpa～</w:t>
      </w:r>
      <w:r>
        <w:rPr>
          <w:rFonts w:hint="eastAsia" w:ascii="Times New Roman"/>
          <w:color w:val="auto"/>
          <w:highlight w:val="none"/>
          <w:lang w:val="en-US" w:eastAsia="zh-CN"/>
        </w:rPr>
        <w:t>85</w:t>
      </w:r>
      <w:r>
        <w:rPr>
          <w:rFonts w:hint="eastAsia" w:ascii="Times New Roman"/>
          <w:color w:val="auto"/>
          <w:highlight w:val="none"/>
        </w:rPr>
        <w:t xml:space="preserve"> </w:t>
      </w:r>
      <w:r>
        <w:rPr>
          <w:rFonts w:ascii="Times New Roman"/>
          <w:color w:val="auto"/>
          <w:highlight w:val="none"/>
        </w:rPr>
        <w:t>Kpa</w:t>
      </w:r>
      <w:r>
        <w:rPr>
          <w:rFonts w:hint="eastAsia" w:ascii="Times New Roman"/>
          <w:color w:val="auto"/>
          <w:highlight w:val="none"/>
        </w:rPr>
        <w:t>、</w:t>
      </w:r>
      <w:r>
        <w:rPr>
          <w:rFonts w:hint="eastAsia" w:ascii="Times New Roman"/>
          <w:color w:val="auto"/>
          <w:highlight w:val="none"/>
          <w:lang w:val="en-US" w:eastAsia="zh-CN"/>
        </w:rPr>
        <w:t>不低于</w:t>
      </w:r>
      <w:r>
        <w:rPr>
          <w:rFonts w:hint="eastAsia" w:ascii="Times New Roman"/>
          <w:color w:val="auto"/>
          <w:highlight w:val="none"/>
        </w:rPr>
        <w:t>1</w:t>
      </w:r>
      <w:r>
        <w:rPr>
          <w:rFonts w:hint="eastAsia" w:ascii="Times New Roman"/>
          <w:color w:val="auto"/>
          <w:highlight w:val="none"/>
          <w:lang w:val="en-US" w:eastAsia="zh-CN"/>
        </w:rPr>
        <w:t>0</w:t>
      </w:r>
      <w:r>
        <w:rPr>
          <w:rFonts w:hint="eastAsia" w:ascii="Times New Roman"/>
          <w:color w:val="auto"/>
          <w:highlight w:val="none"/>
        </w:rPr>
        <w:t>0℃±2℃</w:t>
      </w:r>
      <w:r>
        <w:rPr>
          <w:rFonts w:hint="eastAsia" w:ascii="Times New Roman"/>
          <w:color w:val="auto"/>
          <w:highlight w:val="none"/>
          <w:lang w:val="en-US" w:eastAsia="zh-CN"/>
        </w:rPr>
        <w:t>的</w:t>
      </w:r>
      <w:r>
        <w:rPr>
          <w:rFonts w:hint="eastAsia" w:ascii="Times New Roman"/>
          <w:color w:val="auto"/>
          <w:highlight w:val="none"/>
        </w:rPr>
        <w:t>真空干燥箱中，</w:t>
      </w:r>
      <w:r>
        <w:rPr>
          <w:rFonts w:hint="eastAsia" w:ascii="Times New Roman"/>
          <w:color w:val="auto"/>
          <w:highlight w:val="none"/>
          <w:lang w:val="en-US" w:eastAsia="zh-CN"/>
        </w:rPr>
        <w:t>干燥不少于</w:t>
      </w:r>
      <w:r>
        <w:rPr>
          <w:rFonts w:hint="eastAsia" w:ascii="Times New Roman"/>
          <w:color w:val="auto"/>
          <w:highlight w:val="none"/>
        </w:rPr>
        <w:t>2 h。</w:t>
      </w:r>
    </w:p>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正极片制作</w:t>
      </w:r>
    </w:p>
    <w:p>
      <w:pPr>
        <w:pStyle w:val="62"/>
        <w:spacing w:line="360" w:lineRule="exact"/>
        <w:ind w:firstLine="420"/>
        <w:jc w:val="left"/>
        <w:rPr>
          <w:rFonts w:ascii="Times New Roman"/>
          <w:color w:val="auto"/>
          <w:highlight w:val="none"/>
        </w:rPr>
      </w:pPr>
      <w:r>
        <w:rPr>
          <w:rFonts w:ascii="Times New Roman"/>
          <w:color w:val="auto"/>
          <w:highlight w:val="none"/>
        </w:rPr>
        <w:t>用对辊机对烘干后的正极片辊压至目标厚度。使用</w:t>
      </w:r>
      <w:r>
        <w:rPr>
          <w:rFonts w:hint="eastAsia" w:ascii="Times New Roman"/>
          <w:color w:val="auto"/>
          <w:highlight w:val="none"/>
        </w:rPr>
        <w:t>冲片机</w:t>
      </w:r>
      <w:r>
        <w:rPr>
          <w:rFonts w:ascii="Times New Roman"/>
          <w:color w:val="auto"/>
          <w:highlight w:val="none"/>
        </w:rPr>
        <w:t>冲出直径为12.0</w:t>
      </w:r>
      <w:r>
        <w:rPr>
          <w:rFonts w:hint="eastAsia" w:ascii="Times New Roman"/>
          <w:color w:val="auto"/>
          <w:highlight w:val="none"/>
        </w:rPr>
        <w:t xml:space="preserve"> </w:t>
      </w:r>
      <w:r>
        <w:rPr>
          <w:rFonts w:ascii="Times New Roman"/>
          <w:color w:val="auto"/>
          <w:highlight w:val="none"/>
        </w:rPr>
        <w:t>mm~15.0</w:t>
      </w:r>
      <w:r>
        <w:rPr>
          <w:rFonts w:hint="eastAsia" w:ascii="Times New Roman"/>
          <w:color w:val="auto"/>
          <w:highlight w:val="none"/>
        </w:rPr>
        <w:t xml:space="preserve"> </w:t>
      </w:r>
      <w:r>
        <w:rPr>
          <w:rFonts w:ascii="Times New Roman"/>
          <w:color w:val="auto"/>
          <w:highlight w:val="none"/>
        </w:rPr>
        <w:t>mm足够数量的正极片</w:t>
      </w:r>
      <w:r>
        <w:rPr>
          <w:rFonts w:hint="eastAsia" w:ascii="Times New Roman"/>
          <w:color w:val="auto"/>
          <w:highlight w:val="none"/>
        </w:rPr>
        <w:t>，</w:t>
      </w:r>
      <w:r>
        <w:rPr>
          <w:rFonts w:ascii="Times New Roman"/>
          <w:color w:val="auto"/>
          <w:highlight w:val="none"/>
        </w:rPr>
        <w:t>称量</w:t>
      </w:r>
      <w:r>
        <w:rPr>
          <w:rFonts w:hint="eastAsia" w:ascii="Times New Roman"/>
          <w:color w:val="auto"/>
          <w:highlight w:val="none"/>
        </w:rPr>
        <w:t>并记录质量（精确至0.00</w:t>
      </w:r>
      <w:r>
        <w:rPr>
          <w:rFonts w:hint="eastAsia" w:ascii="Times New Roman"/>
          <w:color w:val="auto"/>
          <w:highlight w:val="none"/>
          <w:lang w:val="en-US" w:eastAsia="zh-CN"/>
        </w:rPr>
        <w:t>0</w:t>
      </w:r>
      <w:r>
        <w:rPr>
          <w:rFonts w:hint="eastAsia" w:ascii="Times New Roman"/>
          <w:color w:val="auto"/>
          <w:highlight w:val="none"/>
        </w:rPr>
        <w:t>02 g）。使用冲片机冲出与正极片直径相同的铝箔基片，称量铝箔基片质量（精确至0.00</w:t>
      </w:r>
      <w:r>
        <w:rPr>
          <w:rFonts w:hint="eastAsia" w:ascii="Times New Roman"/>
          <w:color w:val="auto"/>
          <w:highlight w:val="none"/>
          <w:lang w:val="en-US" w:eastAsia="zh-CN"/>
        </w:rPr>
        <w:t>0</w:t>
      </w:r>
      <w:r>
        <w:rPr>
          <w:rFonts w:hint="eastAsia" w:ascii="Times New Roman"/>
          <w:color w:val="auto"/>
          <w:highlight w:val="none"/>
        </w:rPr>
        <w:t>02 g），</w:t>
      </w:r>
      <w:r>
        <w:rPr>
          <w:rFonts w:ascii="Times New Roman"/>
          <w:color w:val="auto"/>
          <w:highlight w:val="none"/>
        </w:rPr>
        <w:t>计算试验电池中</w:t>
      </w:r>
      <w:r>
        <w:rPr>
          <w:rFonts w:hint="eastAsia" w:ascii="Times New Roman"/>
          <w:color w:val="auto"/>
          <w:highlight w:val="none"/>
        </w:rPr>
        <w:t>铜铁锰酸钠</w:t>
      </w:r>
      <w:r>
        <w:rPr>
          <w:rFonts w:ascii="Times New Roman"/>
          <w:color w:val="auto"/>
          <w:highlight w:val="none"/>
        </w:rPr>
        <w:t>的质量。将称量后的正极片</w:t>
      </w:r>
      <w:r>
        <w:rPr>
          <w:rFonts w:hint="eastAsia" w:ascii="Times New Roman"/>
          <w:color w:val="auto"/>
          <w:highlight w:val="none"/>
        </w:rPr>
        <w:t>置于真空度</w:t>
      </w:r>
      <w:r>
        <w:rPr>
          <w:rFonts w:hint="eastAsia" w:ascii="Times New Roman"/>
          <w:color w:val="auto"/>
          <w:highlight w:val="none"/>
          <w:lang w:val="en-US" w:eastAsia="zh-CN"/>
        </w:rPr>
        <w:t>为</w:t>
      </w:r>
      <w:r>
        <w:rPr>
          <w:rFonts w:ascii="Times New Roman"/>
          <w:color w:val="auto"/>
          <w:highlight w:val="none"/>
        </w:rPr>
        <w:t>66 Kpa～</w:t>
      </w:r>
      <w:r>
        <w:rPr>
          <w:rFonts w:hint="eastAsia" w:ascii="Times New Roman"/>
          <w:color w:val="auto"/>
          <w:highlight w:val="none"/>
          <w:lang w:val="en-US" w:eastAsia="zh-CN"/>
        </w:rPr>
        <w:t>85</w:t>
      </w:r>
      <w:r>
        <w:rPr>
          <w:rFonts w:hint="eastAsia" w:ascii="Times New Roman"/>
          <w:color w:val="auto"/>
          <w:highlight w:val="none"/>
        </w:rPr>
        <w:t xml:space="preserve"> </w:t>
      </w:r>
      <w:r>
        <w:rPr>
          <w:rFonts w:ascii="Times New Roman"/>
          <w:color w:val="auto"/>
          <w:highlight w:val="none"/>
        </w:rPr>
        <w:t>Kpa</w:t>
      </w:r>
      <w:r>
        <w:rPr>
          <w:rFonts w:hint="eastAsia" w:ascii="Times New Roman"/>
          <w:color w:val="auto"/>
          <w:highlight w:val="none"/>
        </w:rPr>
        <w:t>、</w:t>
      </w:r>
      <w:r>
        <w:rPr>
          <w:rFonts w:hint="eastAsia" w:ascii="Times New Roman"/>
          <w:color w:val="auto"/>
          <w:highlight w:val="none"/>
          <w:lang w:val="en-US" w:eastAsia="zh-CN"/>
        </w:rPr>
        <w:t>不低于</w:t>
      </w:r>
      <w:r>
        <w:rPr>
          <w:rFonts w:hint="eastAsia" w:ascii="Times New Roman"/>
          <w:color w:val="auto"/>
          <w:highlight w:val="none"/>
        </w:rPr>
        <w:t>1</w:t>
      </w:r>
      <w:r>
        <w:rPr>
          <w:rFonts w:hint="eastAsia" w:ascii="Times New Roman"/>
          <w:color w:val="auto"/>
          <w:highlight w:val="none"/>
          <w:lang w:val="en-US" w:eastAsia="zh-CN"/>
        </w:rPr>
        <w:t>0</w:t>
      </w:r>
      <w:r>
        <w:rPr>
          <w:rFonts w:hint="eastAsia" w:ascii="Times New Roman"/>
          <w:color w:val="auto"/>
          <w:highlight w:val="none"/>
        </w:rPr>
        <w:t>0℃±2℃</w:t>
      </w:r>
      <w:r>
        <w:rPr>
          <w:rFonts w:hint="eastAsia" w:ascii="Times New Roman"/>
          <w:color w:val="auto"/>
          <w:highlight w:val="none"/>
          <w:lang w:val="en-US" w:eastAsia="zh-CN"/>
        </w:rPr>
        <w:t>的</w:t>
      </w:r>
      <w:r>
        <w:rPr>
          <w:rFonts w:hint="eastAsia" w:ascii="Times New Roman"/>
          <w:color w:val="auto"/>
          <w:highlight w:val="none"/>
        </w:rPr>
        <w:t>真空干燥箱中，</w:t>
      </w:r>
      <w:r>
        <w:rPr>
          <w:rFonts w:hint="eastAsia" w:ascii="Times New Roman"/>
          <w:color w:val="auto"/>
          <w:highlight w:val="none"/>
          <w:lang w:val="en-US" w:eastAsia="zh-CN"/>
        </w:rPr>
        <w:t>干燥不少于</w:t>
      </w:r>
      <w:r>
        <w:rPr>
          <w:rFonts w:ascii="Times New Roman"/>
          <w:color w:val="auto"/>
          <w:highlight w:val="none"/>
        </w:rPr>
        <w:t>4</w:t>
      </w:r>
      <w:r>
        <w:rPr>
          <w:rFonts w:hint="eastAsia" w:ascii="Times New Roman"/>
          <w:color w:val="auto"/>
          <w:highlight w:val="none"/>
        </w:rPr>
        <w:t xml:space="preserve"> </w:t>
      </w:r>
      <w:r>
        <w:rPr>
          <w:rFonts w:ascii="Times New Roman"/>
          <w:color w:val="auto"/>
          <w:highlight w:val="none"/>
        </w:rPr>
        <w:t>h。</w:t>
      </w:r>
    </w:p>
    <w:p>
      <w:pPr>
        <w:pStyle w:val="62"/>
        <w:spacing w:line="360" w:lineRule="exact"/>
        <w:ind w:firstLine="420"/>
        <w:jc w:val="left"/>
        <w:rPr>
          <w:rFonts w:hint="eastAsia" w:ascii="Times New Roman"/>
          <w:color w:val="auto"/>
          <w:highlight w:val="none"/>
        </w:rPr>
      </w:pPr>
      <w:r>
        <w:rPr>
          <w:rFonts w:ascii="Times New Roman"/>
          <w:color w:val="auto"/>
          <w:highlight w:val="none"/>
        </w:rPr>
        <w:t>试验电池中</w:t>
      </w:r>
      <w:r>
        <w:rPr>
          <w:rFonts w:hint="eastAsia" w:ascii="Times New Roman"/>
          <w:color w:val="auto"/>
          <w:highlight w:val="none"/>
        </w:rPr>
        <w:t>铜铁锰酸钠</w:t>
      </w:r>
      <w:r>
        <w:rPr>
          <w:rFonts w:ascii="Times New Roman"/>
          <w:color w:val="auto"/>
          <w:highlight w:val="none"/>
        </w:rPr>
        <w:t>的质量</w:t>
      </w:r>
      <w:r>
        <w:rPr>
          <w:rFonts w:hint="eastAsia" w:ascii="Times New Roman"/>
          <w:color w:val="auto"/>
          <w:highlight w:val="none"/>
        </w:rPr>
        <w:t>以</w:t>
      </w:r>
      <w:r>
        <w:rPr>
          <w:rFonts w:hint="eastAsia" w:ascii="Times New Roman"/>
          <w:i/>
          <w:iCs/>
          <w:color w:val="auto"/>
          <w:highlight w:val="none"/>
        </w:rPr>
        <w:t>m</w:t>
      </w:r>
      <w:r>
        <w:rPr>
          <w:rFonts w:hint="eastAsia" w:ascii="Times New Roman"/>
          <w:color w:val="auto"/>
          <w:highlight w:val="none"/>
          <w:vertAlign w:val="subscript"/>
        </w:rPr>
        <w:t>0</w:t>
      </w:r>
      <w:r>
        <w:rPr>
          <w:rFonts w:hint="eastAsia" w:ascii="Times New Roman"/>
          <w:color w:val="auto"/>
          <w:highlight w:val="none"/>
        </w:rPr>
        <w:t>计，</w:t>
      </w:r>
      <w:r>
        <w:rPr>
          <w:rFonts w:ascii="Times New Roman"/>
          <w:color w:val="auto"/>
          <w:highlight w:val="none"/>
        </w:rPr>
        <w:t>单位为克（g）</w:t>
      </w:r>
      <w:r>
        <w:rPr>
          <w:rFonts w:hint="eastAsia" w:ascii="Times New Roman"/>
          <w:color w:val="auto"/>
          <w:highlight w:val="none"/>
        </w:rPr>
        <w:t>，</w:t>
      </w:r>
      <w:r>
        <w:rPr>
          <w:rFonts w:ascii="Times New Roman"/>
          <w:color w:val="auto"/>
          <w:highlight w:val="none"/>
        </w:rPr>
        <w:t>按公式</w:t>
      </w:r>
      <w:r>
        <w:rPr>
          <w:rFonts w:hint="eastAsia" w:ascii="Times New Roman"/>
          <w:color w:val="auto"/>
          <w:highlight w:val="none"/>
        </w:rPr>
        <w:t>（</w:t>
      </w:r>
      <w:r>
        <w:rPr>
          <w:rFonts w:hint="eastAsia" w:ascii="Times New Roman"/>
          <w:color w:val="auto"/>
          <w:highlight w:val="none"/>
          <w:lang w:val="en-US" w:eastAsia="zh-CN"/>
        </w:rPr>
        <w:t>11</w:t>
      </w:r>
      <w:r>
        <w:rPr>
          <w:rFonts w:hint="eastAsia" w:ascii="Times New Roman"/>
          <w:color w:val="auto"/>
          <w:highlight w:val="none"/>
        </w:rPr>
        <w:t>）</w:t>
      </w:r>
      <w:r>
        <w:rPr>
          <w:rFonts w:ascii="Times New Roman"/>
          <w:color w:val="auto"/>
          <w:highlight w:val="none"/>
        </w:rPr>
        <w:t>计算</w:t>
      </w:r>
      <w:r>
        <w:rPr>
          <w:rFonts w:hint="eastAsia" w:ascii="Times New Roman"/>
          <w:color w:val="auto"/>
          <w:highlight w:val="none"/>
        </w:rPr>
        <w:t>：</w:t>
      </w:r>
    </w:p>
    <w:p>
      <w:pPr>
        <w:pStyle w:val="62"/>
        <w:spacing w:line="360" w:lineRule="exact"/>
        <w:ind w:firstLine="420"/>
        <w:jc w:val="right"/>
        <w:rPr>
          <w:rFonts w:ascii="Times New Roman"/>
          <w:color w:val="auto"/>
          <w:highlight w:val="none"/>
        </w:rPr>
      </w:pPr>
      <w:r>
        <w:rPr>
          <w:color w:val="auto"/>
          <w:position w:val="-12"/>
          <w:highlight w:val="none"/>
        </w:rPr>
        <w:object>
          <v:shape id="_x0000_i1035" o:spt="75" type="#_x0000_t75" style="height:18.8pt;width:93.5pt;" o:ole="t" filled="f" o:preferrelative="t" stroked="f" coordsize="21600,21600">
            <v:path/>
            <v:fill on="f" focussize="0,0"/>
            <v:stroke on="f"/>
            <v:imagedata r:id="rId33" o:title=""/>
            <o:lock v:ext="edit" aspectratio="t"/>
            <w10:wrap type="none"/>
            <w10:anchorlock/>
          </v:shape>
          <o:OLEObject Type="Embed" ProgID="Equation.3" ShapeID="_x0000_i1035" DrawAspect="Content" ObjectID="_1468075735" r:id="rId32">
            <o:LockedField>false</o:LockedField>
          </o:OLEObject>
        </w:object>
      </w:r>
      <w:r>
        <w:rPr>
          <w:rFonts w:hint="eastAsia" w:hAnsi="宋体" w:cs="宋体"/>
          <w:color w:val="auto"/>
          <w:highlight w:val="none"/>
        </w:rPr>
        <w:t>…………………………………</w:t>
      </w:r>
      <w:r>
        <w:rPr>
          <w:rFonts w:hint="eastAsia" w:ascii="Times New Roman"/>
          <w:color w:val="auto"/>
          <w:highlight w:val="none"/>
        </w:rPr>
        <w:t>（</w:t>
      </w:r>
      <w:r>
        <w:rPr>
          <w:rFonts w:hint="eastAsia" w:ascii="Times New Roman"/>
          <w:color w:val="auto"/>
          <w:highlight w:val="none"/>
          <w:lang w:val="en-US" w:eastAsia="zh-CN"/>
        </w:rPr>
        <w:t>11</w:t>
      </w:r>
      <w:r>
        <w:rPr>
          <w:rFonts w:hint="eastAsia" w:ascii="Times New Roman"/>
          <w:color w:val="auto"/>
          <w:highlight w:val="none"/>
        </w:rPr>
        <w:t>）</w:t>
      </w:r>
    </w:p>
    <w:p>
      <w:pPr>
        <w:pStyle w:val="62"/>
        <w:spacing w:line="276" w:lineRule="auto"/>
        <w:ind w:firstLine="420"/>
        <w:jc w:val="left"/>
        <w:rPr>
          <w:rStyle w:val="192"/>
          <w:rFonts w:hint="eastAsia" w:hAnsi="Cambria Math"/>
          <w:color w:val="auto"/>
          <w:highlight w:val="none"/>
        </w:rPr>
      </w:pPr>
      <w:r>
        <w:rPr>
          <w:rStyle w:val="192"/>
          <w:rFonts w:hint="eastAsia" w:hAnsi="Cambria Math"/>
          <w:color w:val="auto"/>
          <w:highlight w:val="none"/>
        </w:rPr>
        <w:t>式中：</w:t>
      </w:r>
    </w:p>
    <w:p>
      <w:pPr>
        <w:pStyle w:val="62"/>
        <w:spacing w:line="276" w:lineRule="auto"/>
        <w:ind w:firstLine="420"/>
        <w:jc w:val="left"/>
        <w:rPr>
          <w:rFonts w:ascii="Times New Roman"/>
          <w:color w:val="auto"/>
          <w:highlight w:val="none"/>
        </w:rPr>
      </w:pPr>
      <m:oMath>
        <m:sSub>
          <m:sSubPr>
            <m:ctrlPr>
              <w:rPr>
                <w:rFonts w:ascii="Cambria Math" w:hAnsi="Cambria Math"/>
                <w:i/>
                <w:color w:val="auto"/>
                <w:highlight w:val="none"/>
              </w:rPr>
            </m:ctrlPr>
          </m:sSubPr>
          <m:e>
            <m:r>
              <m:rPr/>
              <w:rPr>
                <w:rFonts w:ascii="Cambria Math" w:hAnsi="Cambria Math"/>
                <w:color w:val="auto"/>
                <w:highlight w:val="none"/>
              </w:rPr>
              <m:t>m</m:t>
            </m:r>
            <m:ctrlPr>
              <w:rPr>
                <w:rFonts w:ascii="Cambria Math" w:hAnsi="Cambria Math"/>
                <w:i/>
                <w:color w:val="auto"/>
                <w:highlight w:val="none"/>
              </w:rPr>
            </m:ctrlPr>
          </m:e>
          <m:sub>
            <m:r>
              <m:rPr/>
              <w:rPr>
                <w:rFonts w:ascii="Cambria Math" w:hAnsi="Cambria Math"/>
                <w:color w:val="auto"/>
                <w:highlight w:val="none"/>
              </w:rPr>
              <m:t>c</m:t>
            </m:r>
            <m:ctrlPr>
              <w:rPr>
                <w:rFonts w:ascii="Cambria Math" w:hAnsi="Cambria Math"/>
                <w:i/>
                <w:color w:val="auto"/>
                <w:highlight w:val="none"/>
              </w:rPr>
            </m:ctrlPr>
          </m:sub>
        </m:sSub>
      </m:oMath>
      <w:r>
        <w:rPr>
          <w:color w:val="auto"/>
          <w:highlight w:val="none"/>
        </w:rPr>
        <w:t>——</w:t>
      </w:r>
      <w:r>
        <w:rPr>
          <w:rFonts w:ascii="Times New Roman"/>
          <w:color w:val="auto"/>
          <w:highlight w:val="none"/>
        </w:rPr>
        <w:t>正极片质量</w:t>
      </w:r>
      <w:r>
        <w:rPr>
          <w:rFonts w:hint="eastAsia" w:ascii="Times New Roman"/>
          <w:color w:val="auto"/>
          <w:highlight w:val="none"/>
        </w:rPr>
        <w:t>的数值</w:t>
      </w:r>
      <w:r>
        <w:rPr>
          <w:rFonts w:ascii="Times New Roman"/>
          <w:color w:val="auto"/>
          <w:highlight w:val="none"/>
        </w:rPr>
        <w:t>，单位为克（g）；</w:t>
      </w:r>
    </w:p>
    <w:p>
      <w:pPr>
        <w:pStyle w:val="62"/>
        <w:spacing w:line="276" w:lineRule="auto"/>
        <w:ind w:firstLine="420"/>
        <w:jc w:val="left"/>
        <w:rPr>
          <w:rFonts w:ascii="Times New Roman"/>
          <w:color w:val="auto"/>
          <w:highlight w:val="none"/>
        </w:rPr>
      </w:pPr>
      <m:oMath>
        <m:sSub>
          <m:sSubPr>
            <m:ctrlPr>
              <w:rPr>
                <w:rStyle w:val="192"/>
                <w:rFonts w:ascii="Cambria Math" w:hAnsi="Cambria Math"/>
                <w:i/>
                <w:color w:val="auto"/>
                <w:highlight w:val="none"/>
              </w:rPr>
            </m:ctrlPr>
          </m:sSubPr>
          <m:e>
            <m:r>
              <m:rPr/>
              <w:rPr>
                <w:rStyle w:val="192"/>
                <w:rFonts w:ascii="Cambria Math" w:hAnsi="Cambria Math"/>
                <w:color w:val="auto"/>
                <w:highlight w:val="none"/>
              </w:rPr>
              <m:t>m</m:t>
            </m:r>
            <m:ctrlPr>
              <w:rPr>
                <w:rStyle w:val="192"/>
                <w:rFonts w:ascii="Cambria Math" w:hAnsi="Cambria Math"/>
                <w:i/>
                <w:color w:val="auto"/>
                <w:highlight w:val="none"/>
              </w:rPr>
            </m:ctrlPr>
          </m:e>
          <m:sub>
            <m:r>
              <m:rPr>
                <m:sty m:val="p"/>
              </m:rPr>
              <w:rPr>
                <w:rStyle w:val="192"/>
                <w:rFonts w:hint="default" w:ascii="Cambria Math" w:hAnsi="Cambria Math"/>
                <w:color w:val="auto"/>
                <w:highlight w:val="none"/>
              </w:rPr>
              <m:t>Al</m:t>
            </m:r>
            <m:ctrlPr>
              <w:rPr>
                <w:rStyle w:val="192"/>
                <w:rFonts w:ascii="Cambria Math" w:hAnsi="Cambria Math"/>
                <w:i/>
                <w:color w:val="auto"/>
                <w:highlight w:val="none"/>
              </w:rPr>
            </m:ctrlPr>
          </m:sub>
        </m:sSub>
      </m:oMath>
      <w:r>
        <w:rPr>
          <w:rFonts w:ascii="Times New Roman"/>
          <w:color w:val="auto"/>
          <w:highlight w:val="none"/>
        </w:rPr>
        <w:t>——铝箔基片质量</w:t>
      </w:r>
      <w:r>
        <w:rPr>
          <w:rFonts w:hint="eastAsia" w:ascii="Times New Roman"/>
          <w:color w:val="auto"/>
          <w:highlight w:val="none"/>
        </w:rPr>
        <w:t>的数值</w:t>
      </w:r>
      <w:r>
        <w:rPr>
          <w:rFonts w:ascii="Times New Roman"/>
          <w:color w:val="auto"/>
          <w:highlight w:val="none"/>
        </w:rPr>
        <w:t>，单位为克（g）；</w:t>
      </w:r>
    </w:p>
    <w:p>
      <w:pPr>
        <w:pStyle w:val="62"/>
        <w:spacing w:line="276" w:lineRule="auto"/>
        <w:ind w:firstLine="420"/>
        <w:jc w:val="left"/>
        <w:rPr>
          <w:rFonts w:ascii="Times New Roman"/>
          <w:color w:val="auto"/>
          <w:highlight w:val="none"/>
        </w:rPr>
      </w:pPr>
      <m:oMath>
        <m:r>
          <m:rPr/>
          <w:rPr>
            <w:rStyle w:val="192"/>
            <w:rFonts w:ascii="Cambria Math" w:hAnsi="Cambria Math"/>
            <w:color w:val="auto"/>
            <w:highlight w:val="none"/>
          </w:rPr>
          <m:t>ω</m:t>
        </m:r>
      </m:oMath>
      <w:r>
        <w:rPr>
          <w:rFonts w:ascii="Times New Roman"/>
          <w:color w:val="auto"/>
          <w:highlight w:val="none"/>
        </w:rPr>
        <w:t>——正极</w:t>
      </w:r>
      <w:r>
        <w:rPr>
          <w:rFonts w:hint="eastAsia" w:ascii="Times New Roman"/>
          <w:color w:val="auto"/>
          <w:highlight w:val="none"/>
        </w:rPr>
        <w:t>浆料</w:t>
      </w:r>
      <w:r>
        <w:rPr>
          <w:rFonts w:ascii="Times New Roman"/>
          <w:color w:val="auto"/>
          <w:highlight w:val="none"/>
        </w:rPr>
        <w:t>配方中铜铁锰酸钠的质量分数。</w:t>
      </w:r>
    </w:p>
    <w:p>
      <w:pPr>
        <w:pStyle w:val="71"/>
        <w:spacing w:before="120" w:after="120" w:line="360" w:lineRule="exact"/>
        <w:ind w:left="0"/>
        <w:rPr>
          <w:color w:val="auto"/>
          <w:highlight w:val="none"/>
        </w:rPr>
      </w:pPr>
      <w:r>
        <w:rPr>
          <w:rFonts w:hint="eastAsia"/>
          <w:color w:val="auto"/>
          <w:highlight w:val="none"/>
        </w:rPr>
        <w:t>电池的组装</w:t>
      </w:r>
    </w:p>
    <w:p>
      <w:pPr>
        <w:pStyle w:val="62"/>
        <w:spacing w:line="360" w:lineRule="exact"/>
        <w:ind w:firstLine="420"/>
        <w:rPr>
          <w:rFonts w:ascii="Times New Roman"/>
          <w:color w:val="auto"/>
          <w:highlight w:val="none"/>
        </w:rPr>
      </w:pPr>
      <w:r>
        <w:rPr>
          <w:rFonts w:hint="eastAsia" w:ascii="Times New Roman"/>
          <w:color w:val="auto"/>
          <w:highlight w:val="none"/>
        </w:rPr>
        <w:t>在惰性气氛手套箱（水分、氧含量均≤0</w:t>
      </w:r>
      <w:r>
        <w:rPr>
          <w:rFonts w:ascii="Times New Roman"/>
          <w:color w:val="auto"/>
          <w:highlight w:val="none"/>
        </w:rPr>
        <w:t>.000</w:t>
      </w:r>
      <w:r>
        <w:rPr>
          <w:rFonts w:hint="eastAsia" w:ascii="Times New Roman"/>
          <w:color w:val="auto"/>
          <w:highlight w:val="none"/>
        </w:rPr>
        <w:t>01%）中，以金属钠片作为负极材料，与隔膜、钠离子电池电解液一起装配成试验电池，电池密封后，在恒温箱中，用电化学性能测试仪测试。</w:t>
      </w:r>
    </w:p>
    <w:p>
      <w:pPr>
        <w:pStyle w:val="71"/>
        <w:spacing w:before="120" w:after="120" w:line="360" w:lineRule="exact"/>
        <w:ind w:left="0"/>
        <w:rPr>
          <w:color w:val="auto"/>
          <w:highlight w:val="none"/>
        </w:rPr>
      </w:pPr>
      <w:r>
        <w:rPr>
          <w:rFonts w:hint="eastAsia"/>
          <w:color w:val="auto"/>
          <w:highlight w:val="none"/>
          <w:lang w:val="en-US" w:eastAsia="zh-CN"/>
        </w:rPr>
        <w:t>试验步骤</w:t>
      </w:r>
    </w:p>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首次放电比容量、首次充放电效率</w:t>
      </w:r>
      <w:r>
        <w:rPr>
          <w:rFonts w:hint="eastAsia" w:ascii="黑体" w:hAnsi="黑体" w:eastAsia="黑体" w:cs="黑体"/>
          <w:color w:val="auto"/>
          <w:kern w:val="0"/>
          <w:szCs w:val="20"/>
          <w:highlight w:val="none"/>
          <w:lang w:val="en-US" w:eastAsia="zh-CN"/>
        </w:rPr>
        <w:t>的试验</w:t>
      </w:r>
    </w:p>
    <w:p>
      <w:pPr>
        <w:pStyle w:val="62"/>
        <w:spacing w:line="360" w:lineRule="exact"/>
        <w:ind w:firstLine="420"/>
        <w:rPr>
          <w:rFonts w:ascii="Times New Roman"/>
          <w:color w:val="auto"/>
          <w:highlight w:val="none"/>
        </w:rPr>
      </w:pPr>
      <w:r>
        <w:rPr>
          <w:rFonts w:hint="eastAsia" w:ascii="Times New Roman"/>
          <w:color w:val="auto"/>
          <w:highlight w:val="none"/>
        </w:rPr>
        <w:t>将制作</w:t>
      </w:r>
      <w:r>
        <w:rPr>
          <w:rFonts w:hint="eastAsia" w:ascii="Times New Roman"/>
          <w:color w:val="auto"/>
          <w:highlight w:val="none"/>
          <w:lang w:val="en-US" w:eastAsia="zh-CN"/>
        </w:rPr>
        <w:t>好</w:t>
      </w:r>
      <w:r>
        <w:rPr>
          <w:rFonts w:hint="eastAsia" w:ascii="Times New Roman"/>
          <w:color w:val="auto"/>
          <w:highlight w:val="none"/>
        </w:rPr>
        <w:t>的试验电池</w:t>
      </w:r>
      <w:r>
        <w:rPr>
          <w:rFonts w:hint="eastAsia" w:ascii="Times New Roman"/>
          <w:color w:val="auto"/>
          <w:highlight w:val="none"/>
          <w:lang w:val="en-US" w:eastAsia="zh-CN"/>
        </w:rPr>
        <w:t>置</w:t>
      </w:r>
      <w:r>
        <w:rPr>
          <w:rFonts w:hint="eastAsia" w:ascii="Times New Roman"/>
          <w:color w:val="auto"/>
          <w:highlight w:val="none"/>
        </w:rPr>
        <w:t>于25 ℃±0.5 ℃恒温箱中，在电化学性能测试仪上进行充电-放电循环，充放电制度如下：</w:t>
      </w:r>
    </w:p>
    <w:p>
      <w:pPr>
        <w:pStyle w:val="180"/>
        <w:numPr>
          <w:ilvl w:val="0"/>
          <w:numId w:val="34"/>
        </w:numPr>
        <w:spacing w:line="360" w:lineRule="exact"/>
        <w:rPr>
          <w:rFonts w:ascii="Times New Roman"/>
          <w:color w:val="auto"/>
          <w:highlight w:val="none"/>
        </w:rPr>
      </w:pPr>
      <w:r>
        <w:rPr>
          <w:rFonts w:hint="eastAsia" w:ascii="Times New Roman"/>
          <w:color w:val="auto"/>
          <w:highlight w:val="none"/>
        </w:rPr>
        <w:t>0.</w:t>
      </w:r>
      <w:r>
        <w:rPr>
          <w:rFonts w:ascii="Times New Roman"/>
          <w:color w:val="auto"/>
          <w:highlight w:val="none"/>
        </w:rPr>
        <w:t>1</w:t>
      </w:r>
      <w:r>
        <w:rPr>
          <w:rFonts w:hint="eastAsia" w:ascii="Times New Roman"/>
          <w:color w:val="auto"/>
          <w:highlight w:val="none"/>
        </w:rPr>
        <w:t xml:space="preserve"> C 倍率电流充电，截止电流0.05 C，充电限制电压 4.0 V；</w:t>
      </w:r>
    </w:p>
    <w:p>
      <w:pPr>
        <w:pStyle w:val="180"/>
        <w:spacing w:line="360" w:lineRule="exact"/>
        <w:rPr>
          <w:rFonts w:ascii="Times New Roman"/>
          <w:color w:val="auto"/>
          <w:highlight w:val="none"/>
        </w:rPr>
      </w:pPr>
      <w:r>
        <w:rPr>
          <w:rFonts w:hint="eastAsia" w:ascii="Times New Roman"/>
          <w:color w:val="auto"/>
          <w:highlight w:val="none"/>
        </w:rPr>
        <w:t>0.</w:t>
      </w:r>
      <w:r>
        <w:rPr>
          <w:rFonts w:ascii="Times New Roman"/>
          <w:color w:val="auto"/>
          <w:highlight w:val="none"/>
        </w:rPr>
        <w:t>1</w:t>
      </w:r>
      <w:r>
        <w:rPr>
          <w:rFonts w:hint="eastAsia" w:ascii="Times New Roman"/>
          <w:color w:val="auto"/>
          <w:highlight w:val="none"/>
        </w:rPr>
        <w:t xml:space="preserve"> C 倍率电流放电，放电终止电压 2.0 V。</w:t>
      </w:r>
    </w:p>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循环寿命</w:t>
      </w:r>
      <w:r>
        <w:rPr>
          <w:rFonts w:hint="eastAsia" w:ascii="黑体" w:hAnsi="黑体" w:eastAsia="黑体" w:cs="黑体"/>
          <w:color w:val="auto"/>
          <w:kern w:val="0"/>
          <w:szCs w:val="20"/>
          <w:highlight w:val="none"/>
          <w:lang w:val="en-US" w:eastAsia="zh-CN"/>
        </w:rPr>
        <w:t>的试验</w:t>
      </w:r>
    </w:p>
    <w:p>
      <w:pPr>
        <w:pStyle w:val="62"/>
        <w:spacing w:line="360" w:lineRule="exact"/>
        <w:ind w:firstLine="420"/>
        <w:rPr>
          <w:rFonts w:ascii="Times New Roman"/>
          <w:color w:val="auto"/>
          <w:highlight w:val="none"/>
        </w:rPr>
      </w:pPr>
      <w:r>
        <w:rPr>
          <w:rFonts w:hint="eastAsia" w:ascii="Times New Roman"/>
          <w:color w:val="auto"/>
          <w:highlight w:val="none"/>
        </w:rPr>
        <w:t>将制作</w:t>
      </w:r>
      <w:r>
        <w:rPr>
          <w:rFonts w:hint="eastAsia" w:ascii="Times New Roman"/>
          <w:color w:val="auto"/>
          <w:highlight w:val="none"/>
          <w:lang w:val="en-US" w:eastAsia="zh-CN"/>
        </w:rPr>
        <w:t>好</w:t>
      </w:r>
      <w:r>
        <w:rPr>
          <w:rFonts w:hint="eastAsia" w:ascii="Times New Roman"/>
          <w:color w:val="auto"/>
          <w:highlight w:val="none"/>
        </w:rPr>
        <w:t>的试验电池</w:t>
      </w:r>
      <w:r>
        <w:rPr>
          <w:rFonts w:hint="eastAsia" w:ascii="Times New Roman"/>
          <w:color w:val="auto"/>
          <w:highlight w:val="none"/>
          <w:lang w:val="en-US" w:eastAsia="zh-CN"/>
        </w:rPr>
        <w:t>置</w:t>
      </w:r>
      <w:r>
        <w:rPr>
          <w:rFonts w:hint="eastAsia" w:ascii="Times New Roman"/>
          <w:color w:val="auto"/>
          <w:highlight w:val="none"/>
        </w:rPr>
        <w:t>于25 ℃±0.5 ℃恒温箱中，在电化学性能测试仪上进行充电-放电循环，充放电制度如下：</w:t>
      </w:r>
    </w:p>
    <w:p>
      <w:pPr>
        <w:pStyle w:val="180"/>
        <w:numPr>
          <w:ilvl w:val="0"/>
          <w:numId w:val="35"/>
        </w:numPr>
        <w:spacing w:line="360" w:lineRule="exact"/>
        <w:rPr>
          <w:rFonts w:ascii="Times New Roman"/>
          <w:color w:val="auto"/>
          <w:highlight w:val="none"/>
        </w:rPr>
      </w:pPr>
      <w:r>
        <w:rPr>
          <w:rFonts w:ascii="Times New Roman"/>
          <w:color w:val="auto"/>
          <w:highlight w:val="none"/>
        </w:rPr>
        <w:t>0.1C倍率电流充电，充电限制电压4.0 V</w:t>
      </w:r>
      <w:r>
        <w:rPr>
          <w:rFonts w:hint="eastAsia" w:ascii="Times New Roman"/>
          <w:color w:val="auto"/>
          <w:highlight w:val="none"/>
        </w:rPr>
        <w:t>；</w:t>
      </w:r>
    </w:p>
    <w:p>
      <w:pPr>
        <w:pStyle w:val="180"/>
        <w:numPr>
          <w:ilvl w:val="0"/>
          <w:numId w:val="35"/>
        </w:numPr>
        <w:spacing w:line="360" w:lineRule="exact"/>
        <w:rPr>
          <w:rFonts w:ascii="Times New Roman"/>
          <w:color w:val="auto"/>
          <w:highlight w:val="none"/>
        </w:rPr>
      </w:pPr>
      <w:r>
        <w:rPr>
          <w:rFonts w:ascii="Times New Roman"/>
          <w:color w:val="auto"/>
          <w:highlight w:val="none"/>
        </w:rPr>
        <w:t>0.1C倍率电流放电，放电终止电压2.0 V</w:t>
      </w:r>
      <w:r>
        <w:rPr>
          <w:rFonts w:hint="eastAsia" w:ascii="Times New Roman"/>
          <w:color w:val="auto"/>
          <w:highlight w:val="none"/>
        </w:rPr>
        <w:t>；</w:t>
      </w:r>
    </w:p>
    <w:p>
      <w:pPr>
        <w:pStyle w:val="180"/>
        <w:numPr>
          <w:ilvl w:val="0"/>
          <w:numId w:val="35"/>
        </w:numPr>
        <w:spacing w:line="360" w:lineRule="exact"/>
        <w:rPr>
          <w:rFonts w:ascii="Times New Roman"/>
          <w:color w:val="auto"/>
          <w:highlight w:val="none"/>
        </w:rPr>
      </w:pPr>
      <w:r>
        <w:rPr>
          <w:rFonts w:hint="eastAsia" w:ascii="Times New Roman"/>
          <w:color w:val="auto"/>
          <w:highlight w:val="none"/>
        </w:rPr>
        <w:t>1 C 倍率电流充电，截止电流0.05 C，充电限制电压 4.0 V；</w:t>
      </w:r>
    </w:p>
    <w:p>
      <w:pPr>
        <w:pStyle w:val="180"/>
        <w:spacing w:line="360" w:lineRule="exact"/>
        <w:rPr>
          <w:rFonts w:ascii="Times New Roman"/>
          <w:color w:val="auto"/>
          <w:highlight w:val="none"/>
        </w:rPr>
      </w:pPr>
      <w:r>
        <w:rPr>
          <w:rFonts w:hint="eastAsia" w:ascii="Times New Roman"/>
          <w:color w:val="auto"/>
          <w:highlight w:val="none"/>
        </w:rPr>
        <w:t>1 C 倍率电流放电，放电终止电压 2.0 V。</w:t>
      </w:r>
    </w:p>
    <w:p>
      <w:pPr>
        <w:pStyle w:val="185"/>
        <w:spacing w:line="360" w:lineRule="exact"/>
        <w:rPr>
          <w:rFonts w:ascii="Times New Roman"/>
          <w:color w:val="auto"/>
          <w:highlight w:val="none"/>
        </w:rPr>
      </w:pPr>
      <w:r>
        <w:rPr>
          <w:rFonts w:ascii="Times New Roman"/>
          <w:color w:val="auto"/>
          <w:highlight w:val="none"/>
        </w:rPr>
        <w:t>步骤c与d循环若干圈。</w:t>
      </w:r>
    </w:p>
    <w:p>
      <w:pPr>
        <w:pStyle w:val="71"/>
        <w:spacing w:before="120" w:after="120" w:line="360" w:lineRule="exact"/>
        <w:ind w:left="0"/>
        <w:rPr>
          <w:color w:val="auto"/>
          <w:highlight w:val="none"/>
        </w:rPr>
      </w:pPr>
      <w:r>
        <w:rPr>
          <w:rFonts w:hint="eastAsia"/>
          <w:color w:val="auto"/>
          <w:highlight w:val="none"/>
        </w:rPr>
        <w:t>试验数据处理</w:t>
      </w:r>
    </w:p>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首次放电比容量的计算</w:t>
      </w:r>
    </w:p>
    <w:p>
      <w:pPr>
        <w:pStyle w:val="62"/>
        <w:spacing w:line="360" w:lineRule="exact"/>
        <w:ind w:firstLine="420"/>
        <w:rPr>
          <w:rFonts w:hint="eastAsia" w:ascii="Times New Roman"/>
          <w:color w:val="auto"/>
          <w:highlight w:val="none"/>
        </w:rPr>
      </w:pPr>
      <w:r>
        <w:rPr>
          <w:rFonts w:hint="eastAsia" w:ascii="Times New Roman"/>
          <w:color w:val="auto"/>
          <w:highlight w:val="none"/>
        </w:rPr>
        <w:t>首次放电比容量以</w:t>
      </w:r>
      <w:r>
        <w:rPr>
          <w:rFonts w:hint="eastAsia" w:ascii="Times New Roman"/>
          <w:i/>
          <w:iCs/>
          <w:color w:val="auto"/>
          <w:highlight w:val="none"/>
        </w:rPr>
        <w:t>Q</w:t>
      </w:r>
      <w:r>
        <w:rPr>
          <w:rFonts w:hint="eastAsia" w:ascii="Times New Roman"/>
          <w:color w:val="auto"/>
          <w:highlight w:val="none"/>
        </w:rPr>
        <w:t>计，单位为毫安时每克（mA</w:t>
      </w:r>
      <w:r>
        <w:rPr>
          <w:rFonts w:ascii="Times New Roman"/>
          <w:color w:val="auto"/>
          <w:highlight w:val="none"/>
        </w:rPr>
        <w:t>‧</w:t>
      </w:r>
      <w:r>
        <w:rPr>
          <w:rFonts w:hint="eastAsia" w:ascii="Times New Roman"/>
          <w:color w:val="auto"/>
          <w:highlight w:val="none"/>
        </w:rPr>
        <w:t>h</w:t>
      </w:r>
      <w:r>
        <w:rPr>
          <w:rFonts w:ascii="Times New Roman"/>
          <w:color w:val="auto"/>
          <w:highlight w:val="none"/>
        </w:rPr>
        <w:t>/</w:t>
      </w:r>
      <w:r>
        <w:rPr>
          <w:rFonts w:hint="eastAsia" w:ascii="Times New Roman"/>
          <w:color w:val="auto"/>
          <w:highlight w:val="none"/>
        </w:rPr>
        <w:t>g），按公式（</w:t>
      </w:r>
      <w:r>
        <w:rPr>
          <w:rFonts w:hint="eastAsia" w:ascii="Times New Roman"/>
          <w:color w:val="auto"/>
          <w:highlight w:val="none"/>
          <w:lang w:val="en-US" w:eastAsia="zh-CN"/>
        </w:rPr>
        <w:t>12</w:t>
      </w:r>
      <w:r>
        <w:rPr>
          <w:rFonts w:hint="eastAsia" w:ascii="Times New Roman"/>
          <w:color w:val="auto"/>
          <w:highlight w:val="none"/>
        </w:rPr>
        <w:t>）计算：</w:t>
      </w:r>
    </w:p>
    <w:p>
      <w:pPr>
        <w:pStyle w:val="62"/>
        <w:ind w:firstLine="420"/>
        <w:jc w:val="right"/>
        <w:rPr>
          <w:rFonts w:ascii="Times New Roman" w:hAnsi="Times New Roman"/>
          <w:color w:val="auto"/>
          <w:sz w:val="24"/>
          <w:szCs w:val="24"/>
          <w:highlight w:val="none"/>
        </w:rPr>
      </w:pPr>
      <w:r>
        <w:rPr>
          <w:color w:val="auto"/>
          <w:position w:val="-30"/>
          <w:highlight w:val="none"/>
        </w:rPr>
        <w:object>
          <v:shape id="_x0000_i1036" o:spt="75" type="#_x0000_t75" style="height:35.55pt;width:39.25pt;" o:ole="t" filled="f" o:preferrelative="t" stroked="f" coordsize="21600,21600">
            <v:path/>
            <v:fill on="f" focussize="0,0"/>
            <v:stroke on="f"/>
            <v:imagedata r:id="rId35" o:title=""/>
            <o:lock v:ext="edit" aspectratio="t"/>
            <w10:wrap type="none"/>
            <w10:anchorlock/>
          </v:shape>
          <o:OLEObject Type="Embed" ProgID="Equation.3" ShapeID="_x0000_i1036" DrawAspect="Content" ObjectID="_1468075736" r:id="rId34">
            <o:LockedField>false</o:LockedField>
          </o:OLEObject>
        </w:object>
      </w:r>
      <w:r>
        <w:rPr>
          <w:rFonts w:hint="eastAsia" w:hAnsi="宋体" w:cs="宋体"/>
          <w:color w:val="auto"/>
          <w:highlight w:val="none"/>
        </w:rPr>
        <w:t>…………………………………………</w:t>
      </w:r>
      <w:r>
        <w:rPr>
          <w:rFonts w:hint="eastAsia" w:ascii="Times New Roman" w:hAnsi="Times New Roman"/>
          <w:color w:val="auto"/>
          <w:highlight w:val="none"/>
        </w:rPr>
        <w:t>（</w:t>
      </w:r>
      <w:r>
        <w:rPr>
          <w:rFonts w:hint="eastAsia" w:ascii="Times New Roman" w:hAnsi="Times New Roman"/>
          <w:color w:val="auto"/>
          <w:highlight w:val="none"/>
          <w:lang w:val="en-US" w:eastAsia="zh-CN"/>
        </w:rPr>
        <w:t>1</w:t>
      </w:r>
      <w:r>
        <w:rPr>
          <w:rFonts w:hint="eastAsia" w:ascii="Times New Roman"/>
          <w:color w:val="auto"/>
          <w:highlight w:val="none"/>
          <w:lang w:val="en-US" w:eastAsia="zh-CN"/>
        </w:rPr>
        <w:t>2</w:t>
      </w:r>
      <w:r>
        <w:rPr>
          <w:rFonts w:hint="eastAsia" w:ascii="Times New Roman" w:hAnsi="Times New Roman"/>
          <w:color w:val="auto"/>
          <w:highlight w:val="none"/>
        </w:rPr>
        <w:t>）</w:t>
      </w:r>
    </w:p>
    <w:p>
      <w:pPr>
        <w:pStyle w:val="61"/>
        <w:ind w:firstLine="420"/>
        <w:rPr>
          <w:rFonts w:ascii="Times New Roman" w:hAnsi="Times New Roman"/>
          <w:color w:val="auto"/>
          <w:highlight w:val="none"/>
        </w:rPr>
      </w:pPr>
      <w:r>
        <w:rPr>
          <w:rFonts w:hint="eastAsia" w:ascii="Times New Roman" w:hAnsi="Times New Roman"/>
          <w:color w:val="auto"/>
          <w:highlight w:val="none"/>
        </w:rPr>
        <w:t>式中：</w:t>
      </w:r>
    </w:p>
    <w:p>
      <w:pPr>
        <w:pStyle w:val="62"/>
        <w:spacing w:line="360" w:lineRule="exact"/>
        <w:ind w:firstLine="420"/>
        <w:rPr>
          <w:rFonts w:ascii="Times New Roman"/>
          <w:color w:val="auto"/>
          <w:highlight w:val="none"/>
        </w:rPr>
      </w:pPr>
      <m:oMath>
        <m:sSub>
          <m:sSubPr>
            <m:ctrlPr>
              <w:rPr>
                <w:rStyle w:val="192"/>
                <w:rFonts w:ascii="Cambria Math" w:hAnsi="Cambria Math"/>
                <w:i/>
                <w:color w:val="auto"/>
                <w:kern w:val="2"/>
                <w:szCs w:val="21"/>
                <w:highlight w:val="none"/>
              </w:rPr>
            </m:ctrlPr>
          </m:sSubPr>
          <m:e>
            <m:r>
              <m:rPr/>
              <w:rPr>
                <w:rStyle w:val="192"/>
                <w:rFonts w:ascii="Cambria Math" w:hAnsi="Cambria Math"/>
                <w:color w:val="auto"/>
                <w:highlight w:val="none"/>
              </w:rPr>
              <m:t>C</m:t>
            </m:r>
            <m:ctrlPr>
              <w:rPr>
                <w:rStyle w:val="192"/>
                <w:rFonts w:ascii="Cambria Math" w:hAnsi="Cambria Math"/>
                <w:i/>
                <w:color w:val="auto"/>
                <w:kern w:val="2"/>
                <w:szCs w:val="21"/>
                <w:highlight w:val="none"/>
              </w:rPr>
            </m:ctrlPr>
          </m:e>
          <m:sub>
            <m:r>
              <m:rPr>
                <m:sty m:val="p"/>
              </m:rPr>
              <w:rPr>
                <w:rStyle w:val="192"/>
                <w:rFonts w:ascii="Cambria Math" w:hAnsi="Cambria Math"/>
                <w:color w:val="auto"/>
                <w:highlight w:val="none"/>
              </w:rPr>
              <m:t>d</m:t>
            </m:r>
            <m:ctrlPr>
              <w:rPr>
                <w:rStyle w:val="192"/>
                <w:rFonts w:ascii="Cambria Math" w:hAnsi="Cambria Math"/>
                <w:i/>
                <w:color w:val="auto"/>
                <w:kern w:val="2"/>
                <w:szCs w:val="21"/>
                <w:highlight w:val="none"/>
              </w:rPr>
            </m:ctrlPr>
          </m:sub>
        </m:sSub>
      </m:oMath>
      <w:r>
        <w:rPr>
          <w:rFonts w:ascii="Times New Roman"/>
          <w:color w:val="auto"/>
          <w:highlight w:val="none"/>
        </w:rPr>
        <w:t>——首次放电容量，单位为毫安时（mA·h）；</w:t>
      </w:r>
    </w:p>
    <w:p>
      <w:pPr>
        <w:pStyle w:val="62"/>
        <w:spacing w:line="360" w:lineRule="exact"/>
        <w:ind w:firstLine="420"/>
        <w:rPr>
          <w:rFonts w:ascii="Times New Roman"/>
          <w:color w:val="auto"/>
          <w:highlight w:val="none"/>
        </w:rPr>
      </w:pPr>
      <m:oMath>
        <m:sSub>
          <m:sSubPr>
            <m:ctrlPr>
              <w:rPr>
                <w:rStyle w:val="192"/>
                <w:rFonts w:ascii="Cambria Math" w:hAnsi="Cambria Math"/>
                <w:i/>
                <w:color w:val="auto"/>
                <w:kern w:val="2"/>
                <w:szCs w:val="21"/>
                <w:highlight w:val="none"/>
              </w:rPr>
            </m:ctrlPr>
          </m:sSubPr>
          <m:e>
            <m:r>
              <m:rPr/>
              <w:rPr>
                <w:rStyle w:val="192"/>
                <w:rFonts w:ascii="Cambria Math" w:hAnsi="Cambria Math"/>
                <w:color w:val="auto"/>
                <w:highlight w:val="none"/>
              </w:rPr>
              <m:t>m</m:t>
            </m:r>
            <m:ctrlPr>
              <w:rPr>
                <w:rStyle w:val="192"/>
                <w:rFonts w:ascii="Cambria Math" w:hAnsi="Cambria Math"/>
                <w:i/>
                <w:color w:val="auto"/>
                <w:kern w:val="2"/>
                <w:szCs w:val="21"/>
                <w:highlight w:val="none"/>
              </w:rPr>
            </m:ctrlPr>
          </m:e>
          <m:sub>
            <m:r>
              <m:rPr/>
              <w:rPr>
                <w:rStyle w:val="192"/>
                <w:rFonts w:ascii="Cambria Math" w:hAnsi="Cambria Math"/>
                <w:color w:val="auto"/>
                <w:highlight w:val="none"/>
              </w:rPr>
              <m:t>0</m:t>
            </m:r>
            <m:ctrlPr>
              <w:rPr>
                <w:rStyle w:val="192"/>
                <w:rFonts w:ascii="Cambria Math" w:hAnsi="Cambria Math"/>
                <w:i/>
                <w:color w:val="auto"/>
                <w:kern w:val="2"/>
                <w:szCs w:val="21"/>
                <w:highlight w:val="none"/>
              </w:rPr>
            </m:ctrlPr>
          </m:sub>
        </m:sSub>
      </m:oMath>
      <w:r>
        <w:rPr>
          <w:rFonts w:ascii="Times New Roman"/>
          <w:color w:val="auto"/>
          <w:highlight w:val="none"/>
        </w:rPr>
        <w:t>——正极材料中铜铁锰酸钠的质量，单位为克（g）。</w:t>
      </w:r>
    </w:p>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首次充放电效率的计算</w:t>
      </w:r>
    </w:p>
    <w:p>
      <w:pPr>
        <w:pStyle w:val="62"/>
        <w:spacing w:line="360" w:lineRule="exact"/>
        <w:ind w:firstLine="420"/>
        <w:rPr>
          <w:rFonts w:hint="eastAsia" w:ascii="Times New Roman"/>
          <w:color w:val="auto"/>
          <w:highlight w:val="none"/>
        </w:rPr>
      </w:pPr>
      <w:r>
        <w:rPr>
          <w:rFonts w:hint="eastAsia" w:ascii="Times New Roman"/>
          <w:color w:val="auto"/>
          <w:highlight w:val="none"/>
        </w:rPr>
        <w:t>首次充放电效率以</w:t>
      </w:r>
      <w:r>
        <w:rPr>
          <w:rFonts w:hint="eastAsia" w:ascii="Times New Roman"/>
          <w:i/>
          <w:iCs/>
          <w:color w:val="auto"/>
          <w:highlight w:val="none"/>
        </w:rPr>
        <w:t>E</w:t>
      </w:r>
      <w:r>
        <w:rPr>
          <w:rFonts w:hint="eastAsia" w:ascii="Times New Roman"/>
          <w:color w:val="auto"/>
          <w:highlight w:val="none"/>
        </w:rPr>
        <w:t>计，按公式（1</w:t>
      </w:r>
      <w:r>
        <w:rPr>
          <w:rFonts w:hint="eastAsia" w:ascii="Times New Roman"/>
          <w:color w:val="auto"/>
          <w:highlight w:val="none"/>
          <w:lang w:val="en-US" w:eastAsia="zh-CN"/>
        </w:rPr>
        <w:t>3</w:t>
      </w:r>
      <w:r>
        <w:rPr>
          <w:rFonts w:hint="eastAsia" w:ascii="Times New Roman"/>
          <w:color w:val="auto"/>
          <w:highlight w:val="none"/>
        </w:rPr>
        <w:t>）计算：</w:t>
      </w:r>
    </w:p>
    <w:p>
      <w:pPr>
        <w:pStyle w:val="62"/>
        <w:ind w:firstLine="420"/>
        <w:jc w:val="right"/>
        <w:rPr>
          <w:rFonts w:ascii="Times New Roman" w:hAnsi="Times New Roman"/>
          <w:color w:val="auto"/>
          <w:sz w:val="28"/>
          <w:szCs w:val="28"/>
          <w:highlight w:val="none"/>
        </w:rPr>
      </w:pPr>
      <w:r>
        <w:rPr>
          <w:color w:val="auto"/>
          <w:position w:val="-30"/>
          <w:highlight w:val="none"/>
        </w:rPr>
        <w:object>
          <v:shape id="_x0000_i1037" o:spt="75" type="#_x0000_t75" style="height:35.55pt;width:75.5pt;" o:ole="t" filled="f" o:preferrelative="t" stroked="f" coordsize="21600,21600">
            <v:path/>
            <v:fill on="f" focussize="0,0"/>
            <v:stroke on="f"/>
            <v:imagedata r:id="rId37" o:title=""/>
            <o:lock v:ext="edit" aspectratio="t"/>
            <w10:wrap type="none"/>
            <w10:anchorlock/>
          </v:shape>
          <o:OLEObject Type="Embed" ProgID="Equation.3" ShapeID="_x0000_i1037" DrawAspect="Content" ObjectID="_1468075737" r:id="rId36">
            <o:LockedField>false</o:LockedField>
          </o:OLEObject>
        </w:object>
      </w:r>
      <w:r>
        <w:rPr>
          <w:rFonts w:hint="eastAsia" w:hAnsi="宋体" w:cs="宋体"/>
          <w:color w:val="auto"/>
          <w:highlight w:val="none"/>
        </w:rPr>
        <w:t>……………………………………</w:t>
      </w:r>
      <w:r>
        <w:rPr>
          <w:rFonts w:hint="eastAsia" w:ascii="Times New Roman" w:hAnsi="Times New Roman"/>
          <w:color w:val="auto"/>
          <w:highlight w:val="none"/>
        </w:rPr>
        <w:t>（1</w:t>
      </w:r>
      <w:r>
        <w:rPr>
          <w:rFonts w:hint="eastAsia" w:ascii="Times New Roman"/>
          <w:color w:val="auto"/>
          <w:highlight w:val="none"/>
          <w:lang w:val="en-US" w:eastAsia="zh-CN"/>
        </w:rPr>
        <w:t>3</w:t>
      </w:r>
      <w:r>
        <w:rPr>
          <w:rFonts w:hint="eastAsia" w:ascii="Times New Roman"/>
          <w:color w:val="auto"/>
          <w:highlight w:val="none"/>
        </w:rPr>
        <w:t>）</w:t>
      </w:r>
    </w:p>
    <w:p>
      <w:pPr>
        <w:pStyle w:val="61"/>
        <w:ind w:firstLine="420"/>
        <w:rPr>
          <w:rFonts w:ascii="Times New Roman" w:hAnsi="Times New Roman"/>
          <w:color w:val="auto"/>
          <w:highlight w:val="none"/>
        </w:rPr>
      </w:pPr>
      <w:r>
        <w:rPr>
          <w:rFonts w:hint="eastAsia" w:ascii="Times New Roman" w:hAnsi="Times New Roman"/>
          <w:color w:val="auto"/>
          <w:highlight w:val="none"/>
        </w:rPr>
        <w:t>式中：</w:t>
      </w:r>
    </w:p>
    <w:p>
      <w:pPr>
        <w:pStyle w:val="62"/>
        <w:spacing w:line="360" w:lineRule="exact"/>
        <w:ind w:firstLine="420"/>
        <w:rPr>
          <w:rFonts w:ascii="Times New Roman"/>
          <w:color w:val="auto"/>
          <w:highlight w:val="none"/>
        </w:rPr>
      </w:pPr>
      <m:oMath>
        <m:sSub>
          <w:bookmarkStart w:id="47" w:name="OLE_LINK3"/>
          <w:bookmarkStart w:id="48" w:name="OLE_LINK4"/>
          <m:sSubPr>
            <m:ctrlPr>
              <w:rPr>
                <w:rStyle w:val="192"/>
                <w:rFonts w:ascii="Cambria Math" w:hAnsi="Cambria Math"/>
                <w:i/>
                <w:color w:val="auto"/>
                <w:kern w:val="2"/>
                <w:szCs w:val="21"/>
                <w:highlight w:val="none"/>
              </w:rPr>
            </m:ctrlPr>
          </m:sSubPr>
          <m:e>
            <m:r>
              <m:rPr/>
              <w:rPr>
                <w:rStyle w:val="192"/>
                <w:rFonts w:ascii="Cambria Math" w:hAnsi="Cambria Math"/>
                <w:color w:val="auto"/>
                <w:highlight w:val="none"/>
              </w:rPr>
              <m:t>C</m:t>
            </m:r>
            <m:ctrlPr>
              <w:rPr>
                <w:rStyle w:val="192"/>
                <w:rFonts w:ascii="Cambria Math" w:hAnsi="Cambria Math"/>
                <w:i/>
                <w:color w:val="auto"/>
                <w:kern w:val="2"/>
                <w:szCs w:val="21"/>
                <w:highlight w:val="none"/>
              </w:rPr>
            </m:ctrlPr>
          </m:e>
          <m:sub>
            <m:r>
              <m:rPr>
                <m:sty m:val="p"/>
              </m:rPr>
              <w:rPr>
                <w:rStyle w:val="192"/>
                <w:rFonts w:ascii="Cambria Math" w:hAnsi="Cambria Math"/>
                <w:color w:val="auto"/>
                <w:highlight w:val="none"/>
              </w:rPr>
              <m:t>d</m:t>
            </m:r>
            <m:ctrlPr>
              <w:rPr>
                <w:rStyle w:val="192"/>
                <w:rFonts w:ascii="Cambria Math" w:hAnsi="Cambria Math"/>
                <w:i/>
                <w:color w:val="auto"/>
                <w:kern w:val="2"/>
                <w:szCs w:val="21"/>
                <w:highlight w:val="none"/>
              </w:rPr>
            </m:ctrlPr>
          </m:sub>
        </m:sSub>
      </m:oMath>
      <w:r>
        <w:rPr>
          <w:rFonts w:ascii="Times New Roman"/>
          <w:color w:val="auto"/>
          <w:highlight w:val="none"/>
        </w:rPr>
        <w:t>——首次放电容量，单位为毫安时（mA·h）；</w:t>
      </w:r>
    </w:p>
    <w:p>
      <w:pPr>
        <w:pStyle w:val="62"/>
        <w:spacing w:line="360" w:lineRule="exact"/>
        <w:ind w:firstLine="420"/>
        <w:rPr>
          <w:rFonts w:ascii="Times New Roman"/>
          <w:color w:val="auto"/>
          <w:highlight w:val="none"/>
        </w:rPr>
      </w:pPr>
      <m:oMath>
        <m:sSub>
          <m:sSubPr>
            <m:ctrlPr>
              <w:rPr>
                <w:rStyle w:val="192"/>
                <w:rFonts w:ascii="Cambria Math" w:hAnsi="Cambria Math"/>
                <w:i/>
                <w:color w:val="auto"/>
                <w:kern w:val="2"/>
                <w:szCs w:val="21"/>
                <w:highlight w:val="none"/>
              </w:rPr>
            </m:ctrlPr>
          </m:sSubPr>
          <m:e>
            <m:r>
              <m:rPr/>
              <w:rPr>
                <w:rStyle w:val="192"/>
                <w:rFonts w:ascii="Cambria Math" w:hAnsi="Cambria Math"/>
                <w:color w:val="auto"/>
                <w:highlight w:val="none"/>
              </w:rPr>
              <m:t>C</m:t>
            </m:r>
            <m:ctrlPr>
              <w:rPr>
                <w:rStyle w:val="192"/>
                <w:rFonts w:ascii="Cambria Math" w:hAnsi="Cambria Math"/>
                <w:i/>
                <w:color w:val="auto"/>
                <w:kern w:val="2"/>
                <w:szCs w:val="21"/>
                <w:highlight w:val="none"/>
              </w:rPr>
            </m:ctrlPr>
          </m:e>
          <m:sub>
            <m:r>
              <m:rPr>
                <m:sty m:val="p"/>
              </m:rPr>
              <w:rPr>
                <w:rStyle w:val="192"/>
                <w:rFonts w:ascii="Cambria Math" w:hAnsi="Cambria Math"/>
                <w:color w:val="auto"/>
                <w:highlight w:val="none"/>
              </w:rPr>
              <m:t>c</m:t>
            </m:r>
            <m:ctrlPr>
              <w:rPr>
                <w:rStyle w:val="192"/>
                <w:rFonts w:ascii="Cambria Math" w:hAnsi="Cambria Math"/>
                <w:i/>
                <w:color w:val="auto"/>
                <w:kern w:val="2"/>
                <w:szCs w:val="21"/>
                <w:highlight w:val="none"/>
              </w:rPr>
            </m:ctrlPr>
          </m:sub>
        </m:sSub>
      </m:oMath>
      <w:r>
        <w:rPr>
          <w:rFonts w:ascii="Times New Roman"/>
          <w:color w:val="auto"/>
          <w:highlight w:val="none"/>
        </w:rPr>
        <w:t>——首次充电容量，单位为毫安时（mA·h）</w:t>
      </w:r>
      <w:bookmarkEnd w:id="47"/>
      <w:bookmarkEnd w:id="48"/>
      <w:r>
        <w:rPr>
          <w:rFonts w:ascii="Times New Roman"/>
          <w:color w:val="auto"/>
          <w:highlight w:val="none"/>
        </w:rPr>
        <w:t>。</w:t>
      </w:r>
    </w:p>
    <w:p>
      <w:pPr>
        <w:widowControl/>
        <w:numPr>
          <w:ilvl w:val="4"/>
          <w:numId w:val="2"/>
        </w:numPr>
        <w:adjustRightInd/>
        <w:spacing w:beforeLines="50" w:afterLines="50" w:line="360" w:lineRule="exact"/>
        <w:outlineLvl w:val="3"/>
        <w:rPr>
          <w:rFonts w:ascii="黑体" w:hAnsi="黑体" w:eastAsia="黑体" w:cs="黑体"/>
          <w:color w:val="auto"/>
          <w:kern w:val="0"/>
          <w:szCs w:val="20"/>
          <w:highlight w:val="none"/>
        </w:rPr>
      </w:pPr>
      <w:r>
        <w:rPr>
          <w:rFonts w:hint="eastAsia" w:ascii="黑体" w:hAnsi="黑体" w:eastAsia="黑体" w:cs="黑体"/>
          <w:color w:val="auto"/>
          <w:kern w:val="0"/>
          <w:szCs w:val="20"/>
          <w:highlight w:val="none"/>
        </w:rPr>
        <w:t>循环寿命的计算和确定方法</w:t>
      </w:r>
    </w:p>
    <w:p>
      <w:pPr>
        <w:pStyle w:val="62"/>
        <w:spacing w:line="360" w:lineRule="exact"/>
        <w:ind w:firstLine="420"/>
        <w:rPr>
          <w:rFonts w:hint="eastAsia" w:ascii="Times New Roman"/>
          <w:color w:val="auto"/>
          <w:highlight w:val="none"/>
        </w:rPr>
      </w:pPr>
      <w:r>
        <w:rPr>
          <w:rFonts w:hint="eastAsia" w:ascii="Times New Roman"/>
          <w:color w:val="auto"/>
          <w:highlight w:val="none"/>
        </w:rPr>
        <w:t>第</w:t>
      </w:r>
      <w:r>
        <w:rPr>
          <w:rFonts w:hint="eastAsia" w:ascii="Times New Roman"/>
          <w:i/>
          <w:iCs/>
          <w:color w:val="auto"/>
          <w:highlight w:val="none"/>
        </w:rPr>
        <w:t>n</w:t>
      </w:r>
      <w:r>
        <w:rPr>
          <w:rFonts w:hint="eastAsia" w:ascii="Times New Roman"/>
          <w:color w:val="auto"/>
          <w:highlight w:val="none"/>
        </w:rPr>
        <w:t>次循环放电容量与第1次循环放电容量之比</w:t>
      </w:r>
      <m:oMath>
        <m:sSub>
          <m:sSubPr>
            <m:ctrlPr>
              <w:rPr>
                <w:rFonts w:hint="eastAsia" w:ascii="Cambria Math" w:hAnsi="Cambria Math"/>
                <w:color w:val="auto"/>
                <w:highlight w:val="none"/>
              </w:rPr>
            </m:ctrlPr>
          </m:sSubPr>
          <m:e>
            <m:r>
              <m:rPr/>
              <w:rPr>
                <w:rFonts w:ascii="Cambria Math" w:hAnsi="Cambria Math"/>
                <w:color w:val="auto"/>
                <w:highlight w:val="none"/>
              </w:rPr>
              <m:t>η</m:t>
            </m:r>
            <m:ctrlPr>
              <w:rPr>
                <w:rFonts w:hint="eastAsia" w:ascii="Cambria Math" w:hAnsi="Cambria Math"/>
                <w:color w:val="auto"/>
                <w:highlight w:val="none"/>
              </w:rPr>
            </m:ctrlPr>
          </m:e>
          <m:sub>
            <m:r>
              <m:rPr>
                <m:sty m:val="p"/>
              </m:rPr>
              <w:rPr>
                <w:rFonts w:hint="eastAsia" w:ascii="Cambria Math" w:hAnsi="Cambria Math"/>
                <w:color w:val="auto"/>
                <w:highlight w:val="none"/>
              </w:rPr>
              <m:t>n</m:t>
            </m:r>
            <m:ctrlPr>
              <w:rPr>
                <w:rFonts w:hint="eastAsia" w:ascii="Cambria Math" w:hAnsi="Cambria Math"/>
                <w:color w:val="auto"/>
                <w:highlight w:val="none"/>
              </w:rPr>
            </m:ctrlPr>
          </m:sub>
        </m:sSub>
      </m:oMath>
      <w:r>
        <w:rPr>
          <w:rFonts w:hint="eastAsia" w:ascii="Times New Roman"/>
          <w:color w:val="auto"/>
          <w:highlight w:val="none"/>
        </w:rPr>
        <w:t>，按公式（1</w:t>
      </w:r>
      <w:r>
        <w:rPr>
          <w:rFonts w:hint="eastAsia" w:ascii="Times New Roman"/>
          <w:color w:val="auto"/>
          <w:highlight w:val="none"/>
          <w:lang w:val="en-US" w:eastAsia="zh-CN"/>
        </w:rPr>
        <w:t>4</w:t>
      </w:r>
      <w:r>
        <w:rPr>
          <w:rFonts w:hint="eastAsia" w:ascii="Times New Roman"/>
          <w:color w:val="auto"/>
          <w:highlight w:val="none"/>
        </w:rPr>
        <w:t>）计算：</w:t>
      </w:r>
    </w:p>
    <w:p>
      <w:pPr>
        <w:pStyle w:val="62"/>
        <w:ind w:firstLine="420"/>
        <w:jc w:val="right"/>
        <w:rPr>
          <w:rFonts w:ascii="Times New Roman" w:hAnsi="Times New Roman"/>
          <w:color w:val="auto"/>
          <w:sz w:val="28"/>
          <w:szCs w:val="28"/>
          <w:highlight w:val="none"/>
        </w:rPr>
      </w:pPr>
      <w:r>
        <w:rPr>
          <w:color w:val="auto"/>
          <w:position w:val="-30"/>
          <w:highlight w:val="none"/>
        </w:rPr>
        <w:object>
          <v:shape id="_x0000_i1038" o:spt="75" type="#_x0000_t75" style="height:35.55pt;width:78.55pt;" o:ole="t" filled="f" o:preferrelative="t" stroked="f" coordsize="21600,21600">
            <v:path/>
            <v:fill on="f" focussize="0,0"/>
            <v:stroke on="f"/>
            <v:imagedata r:id="rId39" o:title=""/>
            <o:lock v:ext="edit" aspectratio="t"/>
            <w10:wrap type="none"/>
            <w10:anchorlock/>
          </v:shape>
          <o:OLEObject Type="Embed" ProgID="Equation.3" ShapeID="_x0000_i1038" DrawAspect="Content" ObjectID="_1468075738" r:id="rId38">
            <o:LockedField>false</o:LockedField>
          </o:OLEObject>
        </w:object>
      </w:r>
      <w:r>
        <w:rPr>
          <w:rFonts w:hint="eastAsia" w:hAnsi="宋体" w:cs="宋体"/>
          <w:color w:val="auto"/>
          <w:highlight w:val="none"/>
        </w:rPr>
        <w:t>……………………………………</w:t>
      </w:r>
      <w:r>
        <w:rPr>
          <w:rFonts w:hint="eastAsia" w:ascii="Times New Roman" w:hAnsi="Times New Roman"/>
          <w:color w:val="auto"/>
          <w:highlight w:val="none"/>
        </w:rPr>
        <w:t>（1</w:t>
      </w:r>
      <w:r>
        <w:rPr>
          <w:rFonts w:hint="eastAsia" w:ascii="Times New Roman"/>
          <w:color w:val="auto"/>
          <w:highlight w:val="none"/>
          <w:lang w:val="en-US" w:eastAsia="zh-CN"/>
        </w:rPr>
        <w:t>4</w:t>
      </w:r>
      <w:r>
        <w:rPr>
          <w:rFonts w:hint="eastAsia" w:ascii="Times New Roman" w:hAnsi="Times New Roman"/>
          <w:color w:val="auto"/>
          <w:highlight w:val="none"/>
        </w:rPr>
        <w:t>）</w:t>
      </w:r>
    </w:p>
    <w:p>
      <w:pPr>
        <w:pStyle w:val="61"/>
        <w:ind w:firstLine="420"/>
        <w:rPr>
          <w:rFonts w:ascii="Times New Roman" w:hAnsi="Times New Roman"/>
          <w:color w:val="auto"/>
          <w:highlight w:val="none"/>
        </w:rPr>
      </w:pPr>
      <w:r>
        <w:rPr>
          <w:rFonts w:hint="eastAsia" w:ascii="Times New Roman" w:hAnsi="Times New Roman"/>
          <w:color w:val="auto"/>
          <w:highlight w:val="none"/>
        </w:rPr>
        <w:t>式中：</w:t>
      </w:r>
    </w:p>
    <w:p>
      <w:pPr>
        <w:pStyle w:val="62"/>
        <w:spacing w:line="360" w:lineRule="exact"/>
        <w:ind w:firstLine="420"/>
        <w:rPr>
          <w:rFonts w:ascii="Times New Roman"/>
          <w:color w:val="auto"/>
          <w:highlight w:val="none"/>
        </w:rPr>
      </w:pPr>
      <m:oMath>
        <m:sSub>
          <m:sSubPr>
            <m:ctrlPr>
              <w:rPr>
                <w:rFonts w:ascii="Cambria Math" w:hAnsi="Cambria Math"/>
                <w:i/>
                <w:color w:val="auto"/>
                <w:kern w:val="2"/>
                <w:szCs w:val="21"/>
                <w:highlight w:val="none"/>
              </w:rPr>
            </m:ctrlPr>
          </m:sSubPr>
          <m:e>
            <m:r>
              <m:rPr/>
              <w:rPr>
                <w:rFonts w:ascii="Cambria Math" w:hAnsi="Cambria Math"/>
                <w:color w:val="auto"/>
                <w:highlight w:val="none"/>
              </w:rPr>
              <m:t>Q</m:t>
            </m:r>
            <m:ctrlPr>
              <w:rPr>
                <w:rFonts w:ascii="Cambria Math" w:hAnsi="Cambria Math"/>
                <w:i/>
                <w:color w:val="auto"/>
                <w:kern w:val="2"/>
                <w:szCs w:val="21"/>
                <w:highlight w:val="none"/>
              </w:rPr>
            </m:ctrlPr>
          </m:e>
          <m:sub>
            <m:r>
              <m:rPr>
                <m:sty m:val="p"/>
              </m:rPr>
              <w:rPr>
                <w:rFonts w:ascii="Cambria Math" w:hAnsi="Cambria Math"/>
                <w:color w:val="auto"/>
                <w:highlight w:val="none"/>
              </w:rPr>
              <m:t>n</m:t>
            </m:r>
            <m:ctrlPr>
              <w:rPr>
                <w:rFonts w:ascii="Cambria Math" w:hAnsi="Cambria Math"/>
                <w:i/>
                <w:color w:val="auto"/>
                <w:kern w:val="2"/>
                <w:szCs w:val="21"/>
                <w:highlight w:val="none"/>
              </w:rPr>
            </m:ctrlPr>
          </m:sub>
        </m:sSub>
      </m:oMath>
      <w:r>
        <w:rPr>
          <w:rFonts w:ascii="Times New Roman"/>
          <w:color w:val="auto"/>
          <w:highlight w:val="none"/>
        </w:rPr>
        <w:t>——第n次循环放电容量，单位为毫安时（mA·h）；</w:t>
      </w:r>
    </w:p>
    <w:p>
      <w:pPr>
        <w:pStyle w:val="62"/>
        <w:spacing w:line="360" w:lineRule="exact"/>
        <w:ind w:firstLine="420"/>
        <w:rPr>
          <w:rFonts w:ascii="Times New Roman"/>
          <w:color w:val="auto"/>
          <w:highlight w:val="none"/>
        </w:rPr>
      </w:pPr>
      <m:oMath>
        <m:sSub>
          <m:sSubPr>
            <m:ctrlPr>
              <w:rPr>
                <w:rFonts w:ascii="Cambria Math" w:hAnsi="Cambria Math"/>
                <w:i/>
                <w:color w:val="auto"/>
                <w:kern w:val="2"/>
                <w:szCs w:val="21"/>
                <w:highlight w:val="none"/>
              </w:rPr>
            </m:ctrlPr>
          </m:sSubPr>
          <m:e>
            <m:r>
              <m:rPr/>
              <w:rPr>
                <w:rFonts w:ascii="Cambria Math" w:hAnsi="Cambria Math"/>
                <w:color w:val="auto"/>
                <w:highlight w:val="none"/>
              </w:rPr>
              <m:t>Q</m:t>
            </m:r>
            <m:ctrlPr>
              <w:rPr>
                <w:rFonts w:ascii="Cambria Math" w:hAnsi="Cambria Math"/>
                <w:i/>
                <w:color w:val="auto"/>
                <w:kern w:val="2"/>
                <w:szCs w:val="21"/>
                <w:highlight w:val="none"/>
              </w:rPr>
            </m:ctrlPr>
          </m:e>
          <m:sub>
            <m:r>
              <m:rPr/>
              <w:rPr>
                <w:rFonts w:ascii="Cambria Math" w:hAnsi="Cambria Math"/>
                <w:color w:val="auto"/>
                <w:highlight w:val="none"/>
              </w:rPr>
              <m:t>1</m:t>
            </m:r>
            <m:ctrlPr>
              <w:rPr>
                <w:rFonts w:ascii="Cambria Math" w:hAnsi="Cambria Math"/>
                <w:i/>
                <w:color w:val="auto"/>
                <w:kern w:val="2"/>
                <w:szCs w:val="21"/>
                <w:highlight w:val="none"/>
              </w:rPr>
            </m:ctrlPr>
          </m:sub>
        </m:sSub>
      </m:oMath>
      <w:r>
        <w:rPr>
          <w:rFonts w:ascii="Times New Roman"/>
          <w:color w:val="auto"/>
          <w:highlight w:val="none"/>
        </w:rPr>
        <w:t>——第1次循环放电容量，单位为毫安时（mA·h）。</w:t>
      </w:r>
    </w:p>
    <w:p>
      <w:pPr>
        <w:pStyle w:val="62"/>
        <w:spacing w:beforeLines="50" w:line="360" w:lineRule="exact"/>
        <w:ind w:firstLine="420"/>
        <w:rPr>
          <w:rFonts w:ascii="Times New Roman"/>
          <w:color w:val="auto"/>
          <w:highlight w:val="none"/>
        </w:rPr>
      </w:pPr>
      <w:r>
        <w:rPr>
          <w:rFonts w:hint="eastAsia" w:ascii="Times New Roman"/>
          <w:color w:val="auto"/>
          <w:highlight w:val="none"/>
        </w:rPr>
        <w:t>循环寿命按以下方法确定：当</w:t>
      </w:r>
      <m:oMath>
        <m:sSub>
          <m:sSubPr>
            <m:ctrlPr>
              <w:rPr>
                <w:rFonts w:ascii="Cambria Math" w:hAnsi="Cambria Math"/>
                <w:i/>
                <w:color w:val="auto"/>
                <w:kern w:val="2"/>
                <w:szCs w:val="21"/>
                <w:highlight w:val="none"/>
              </w:rPr>
            </m:ctrlPr>
          </m:sSubPr>
          <m:e>
            <m:r>
              <m:rPr/>
              <w:rPr>
                <w:rFonts w:ascii="Cambria Math" w:hAnsi="Cambria Math"/>
                <w:color w:val="auto"/>
                <w:highlight w:val="none"/>
              </w:rPr>
              <m:t>η</m:t>
            </m:r>
            <m:ctrlPr>
              <w:rPr>
                <w:rFonts w:ascii="Cambria Math" w:hAnsi="Cambria Math"/>
                <w:i/>
                <w:color w:val="auto"/>
                <w:kern w:val="2"/>
                <w:szCs w:val="21"/>
                <w:highlight w:val="none"/>
              </w:rPr>
            </m:ctrlPr>
          </m:e>
          <m:sub>
            <m:r>
              <m:rPr>
                <m:sty m:val="p"/>
              </m:rPr>
              <w:rPr>
                <w:rFonts w:ascii="Cambria Math" w:hAnsi="Cambria Math"/>
                <w:color w:val="auto"/>
                <w:highlight w:val="none"/>
              </w:rPr>
              <m:t>n</m:t>
            </m:r>
            <m:ctrlPr>
              <w:rPr>
                <w:rFonts w:ascii="Cambria Math" w:hAnsi="Cambria Math"/>
                <w:i/>
                <w:color w:val="auto"/>
                <w:kern w:val="2"/>
                <w:szCs w:val="21"/>
                <w:highlight w:val="none"/>
              </w:rPr>
            </m:ctrlPr>
          </m:sub>
        </m:sSub>
      </m:oMath>
      <w:r>
        <w:rPr>
          <w:rFonts w:hint="eastAsia" w:ascii="Times New Roman"/>
          <w:color w:val="auto"/>
          <w:highlight w:val="none"/>
        </w:rPr>
        <w:t>≥80%，</w:t>
      </w:r>
      <m:oMath>
        <m:sSub>
          <m:sSubPr>
            <m:ctrlPr>
              <w:rPr>
                <w:rFonts w:ascii="Cambria Math" w:hAnsi="Cambria Math"/>
                <w:i/>
                <w:color w:val="auto"/>
                <w:kern w:val="2"/>
                <w:szCs w:val="21"/>
                <w:highlight w:val="none"/>
              </w:rPr>
            </m:ctrlPr>
          </m:sSubPr>
          <m:e>
            <m:r>
              <m:rPr/>
              <w:rPr>
                <w:rFonts w:ascii="Cambria Math" w:hAnsi="Cambria Math"/>
                <w:color w:val="auto"/>
                <w:highlight w:val="none"/>
              </w:rPr>
              <m:t>η</m:t>
            </m:r>
            <m:ctrlPr>
              <w:rPr>
                <w:rFonts w:ascii="Cambria Math" w:hAnsi="Cambria Math"/>
                <w:i/>
                <w:color w:val="auto"/>
                <w:kern w:val="2"/>
                <w:szCs w:val="21"/>
                <w:highlight w:val="none"/>
              </w:rPr>
            </m:ctrlPr>
          </m:e>
          <m:sub>
            <m:r>
              <m:rPr/>
              <w:rPr>
                <w:rFonts w:ascii="Cambria Math" w:hAnsi="Cambria Math"/>
                <w:color w:val="auto"/>
                <w:highlight w:val="none"/>
              </w:rPr>
              <m:t>n</m:t>
            </m:r>
            <m:r>
              <m:rPr>
                <m:sty m:val="p"/>
              </m:rPr>
              <w:rPr>
                <w:rFonts w:hint="eastAsia" w:ascii="Cambria Math" w:hAnsi="Cambria Math"/>
                <w:color w:val="auto"/>
                <w:highlight w:val="none"/>
              </w:rPr>
              <m:t>+1</m:t>
            </m:r>
            <m:ctrlPr>
              <w:rPr>
                <w:rFonts w:ascii="Cambria Math" w:hAnsi="Cambria Math"/>
                <w:i/>
                <w:color w:val="auto"/>
                <w:kern w:val="2"/>
                <w:szCs w:val="21"/>
                <w:highlight w:val="none"/>
              </w:rPr>
            </m:ctrlPr>
          </m:sub>
        </m:sSub>
      </m:oMath>
      <w:r>
        <w:rPr>
          <w:rFonts w:hint="eastAsia" w:ascii="Times New Roman"/>
          <w:color w:val="auto"/>
          <w:highlight w:val="none"/>
        </w:rPr>
        <w:t>&lt;80%时的循环次数</w:t>
      </w:r>
      <w:r>
        <w:rPr>
          <w:rFonts w:hint="eastAsia" w:ascii="Times New Roman"/>
          <w:i/>
          <w:iCs/>
          <w:color w:val="auto"/>
          <w:highlight w:val="none"/>
        </w:rPr>
        <w:t>n</w:t>
      </w:r>
      <w:r>
        <w:rPr>
          <w:rFonts w:hint="eastAsia" w:ascii="Times New Roman"/>
          <w:color w:val="auto"/>
          <w:highlight w:val="none"/>
        </w:rPr>
        <w:t>，即为测试样品的循环寿命。</w:t>
      </w:r>
    </w:p>
    <w:p>
      <w:pPr>
        <w:widowControl/>
        <w:numPr>
          <w:ilvl w:val="1"/>
          <w:numId w:val="2"/>
        </w:numPr>
        <w:adjustRightInd/>
        <w:spacing w:beforeLines="100" w:afterLines="100" w:line="360" w:lineRule="exact"/>
        <w:outlineLvl w:val="0"/>
        <w:rPr>
          <w:rFonts w:ascii="Times New Roman" w:hAnsi="Times New Roman" w:eastAsia="黑体"/>
          <w:color w:val="auto"/>
          <w:kern w:val="0"/>
          <w:szCs w:val="20"/>
          <w:highlight w:val="none"/>
        </w:rPr>
      </w:pPr>
      <w:r>
        <w:rPr>
          <w:rFonts w:hint="eastAsia" w:ascii="Times New Roman" w:hAnsi="Times New Roman" w:eastAsia="黑体"/>
          <w:color w:val="auto"/>
          <w:kern w:val="0"/>
          <w:szCs w:val="20"/>
          <w:highlight w:val="none"/>
        </w:rPr>
        <w:t>检验规则</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hint="eastAsia" w:ascii="宋体" w:hAnsi="宋体"/>
          <w:color w:val="auto"/>
          <w:szCs w:val="24"/>
          <w:highlight w:val="none"/>
        </w:rPr>
        <w:t>型式检验和出厂检验应符合下列规定：</w:t>
      </w:r>
    </w:p>
    <w:p>
      <w:pPr>
        <w:pStyle w:val="238"/>
        <w:numPr>
          <w:ilvl w:val="0"/>
          <w:numId w:val="36"/>
        </w:numPr>
        <w:spacing w:before="120" w:after="120" w:line="360" w:lineRule="exact"/>
        <w:ind w:left="777" w:hanging="357"/>
        <w:rPr>
          <w:rFonts w:ascii="宋体" w:hAnsi="宋体" w:eastAsia="宋体" w:cs="宋体"/>
          <w:color w:val="auto"/>
          <w:highlight w:val="none"/>
        </w:rPr>
      </w:pPr>
      <w:bookmarkStart w:id="49" w:name="_Hlk129020283"/>
      <w:r>
        <w:rPr>
          <w:rFonts w:hint="eastAsia" w:ascii="Times New Roman" w:eastAsia="宋体"/>
          <w:color w:val="auto"/>
          <w:highlight w:val="none"/>
          <w:lang w:val="en-US"/>
        </w:rPr>
        <w:t>本文件</w:t>
      </w:r>
      <w:r>
        <w:rPr>
          <w:rFonts w:hint="eastAsia" w:ascii="Times New Roman" w:eastAsia="宋体"/>
          <w:color w:val="auto"/>
          <w:highlight w:val="none"/>
        </w:rPr>
        <w:t>第</w:t>
      </w:r>
      <w:r>
        <w:rPr>
          <w:rFonts w:ascii="Times New Roman" w:eastAsia="宋体"/>
          <w:color w:val="auto"/>
          <w:highlight w:val="none"/>
        </w:rPr>
        <w:t>5</w:t>
      </w:r>
      <w:r>
        <w:rPr>
          <w:rFonts w:hint="eastAsia" w:ascii="Times New Roman" w:eastAsia="宋体"/>
          <w:color w:val="auto"/>
          <w:highlight w:val="none"/>
        </w:rPr>
        <w:t>章规定的所有指标项目为型式检验项目，正常情况下每6个月应至少进行一次型式检验。在下列情况之一时，应进行型式检验：</w:t>
      </w:r>
    </w:p>
    <w:p>
      <w:pPr>
        <w:pStyle w:val="236"/>
        <w:spacing w:line="360" w:lineRule="exact"/>
        <w:ind w:firstLine="840" w:firstLineChars="400"/>
        <w:rPr>
          <w:color w:val="auto"/>
          <w:highlight w:val="none"/>
        </w:rPr>
      </w:pPr>
      <w:r>
        <w:rPr>
          <w:color w:val="auto"/>
          <w:highlight w:val="none"/>
        </w:rPr>
        <w:t>——</w:t>
      </w:r>
      <w:r>
        <w:rPr>
          <w:rFonts w:hint="eastAsia"/>
          <w:color w:val="auto"/>
          <w:highlight w:val="none"/>
        </w:rPr>
        <w:t>更新关键设备和生产工艺；</w:t>
      </w:r>
    </w:p>
    <w:p>
      <w:pPr>
        <w:pStyle w:val="236"/>
        <w:spacing w:line="360" w:lineRule="exact"/>
        <w:ind w:firstLine="840" w:firstLineChars="400"/>
        <w:rPr>
          <w:color w:val="auto"/>
          <w:highlight w:val="none"/>
        </w:rPr>
      </w:pPr>
      <w:r>
        <w:rPr>
          <w:color w:val="auto"/>
          <w:highlight w:val="none"/>
        </w:rPr>
        <w:t>——</w:t>
      </w:r>
      <w:r>
        <w:rPr>
          <w:rFonts w:hint="eastAsia"/>
          <w:color w:val="auto"/>
          <w:highlight w:val="none"/>
        </w:rPr>
        <w:t>主要原料有变化；</w:t>
      </w:r>
    </w:p>
    <w:p>
      <w:pPr>
        <w:pStyle w:val="236"/>
        <w:spacing w:line="360" w:lineRule="exact"/>
        <w:ind w:firstLine="840" w:firstLineChars="400"/>
        <w:rPr>
          <w:color w:val="auto"/>
          <w:highlight w:val="none"/>
        </w:rPr>
      </w:pPr>
      <w:r>
        <w:rPr>
          <w:color w:val="auto"/>
          <w:highlight w:val="none"/>
        </w:rPr>
        <w:t>——</w:t>
      </w:r>
      <w:r>
        <w:rPr>
          <w:rFonts w:hint="eastAsia"/>
          <w:color w:val="auto"/>
          <w:highlight w:val="none"/>
        </w:rPr>
        <w:t>停产又恢复生产；</w:t>
      </w:r>
    </w:p>
    <w:p>
      <w:pPr>
        <w:pStyle w:val="236"/>
        <w:spacing w:line="360" w:lineRule="exact"/>
        <w:ind w:firstLine="840" w:firstLineChars="400"/>
        <w:rPr>
          <w:color w:val="auto"/>
          <w:highlight w:val="none"/>
        </w:rPr>
      </w:pPr>
      <w:r>
        <w:rPr>
          <w:color w:val="auto"/>
          <w:highlight w:val="none"/>
        </w:rPr>
        <w:t>——</w:t>
      </w:r>
      <w:r>
        <w:rPr>
          <w:rFonts w:hint="eastAsia"/>
          <w:color w:val="auto"/>
          <w:highlight w:val="none"/>
        </w:rPr>
        <w:t>与上次型式检验有较大的差异；</w:t>
      </w:r>
    </w:p>
    <w:p>
      <w:pPr>
        <w:pStyle w:val="236"/>
        <w:spacing w:line="360" w:lineRule="exact"/>
        <w:ind w:firstLine="840" w:firstLineChars="400"/>
        <w:rPr>
          <w:color w:val="auto"/>
          <w:highlight w:val="none"/>
        </w:rPr>
      </w:pPr>
      <w:r>
        <w:rPr>
          <w:color w:val="auto"/>
          <w:highlight w:val="none"/>
        </w:rPr>
        <w:t>——</w:t>
      </w:r>
      <w:r>
        <w:rPr>
          <w:rFonts w:hint="eastAsia"/>
          <w:color w:val="auto"/>
          <w:highlight w:val="none"/>
        </w:rPr>
        <w:t>合同规定。</w:t>
      </w:r>
    </w:p>
    <w:p>
      <w:pPr>
        <w:pStyle w:val="238"/>
        <w:numPr>
          <w:ilvl w:val="0"/>
          <w:numId w:val="36"/>
        </w:numPr>
        <w:spacing w:before="120" w:after="120" w:line="360" w:lineRule="exact"/>
        <w:ind w:left="777" w:hanging="357"/>
        <w:rPr>
          <w:color w:val="auto"/>
          <w:highlight w:val="none"/>
        </w:rPr>
      </w:pPr>
      <w:r>
        <w:rPr>
          <w:rFonts w:hint="eastAsia" w:ascii="宋体" w:hAnsi="宋体" w:eastAsia="宋体" w:cs="宋体"/>
          <w:color w:val="auto"/>
          <w:highlight w:val="none"/>
          <w:lang w:val="en-US"/>
        </w:rPr>
        <w:t>本文件</w:t>
      </w:r>
      <w:r>
        <w:rPr>
          <w:rFonts w:hint="eastAsia" w:ascii="宋体" w:hAnsi="宋体" w:eastAsia="宋体" w:cs="宋体"/>
          <w:color w:val="auto"/>
          <w:highlight w:val="none"/>
        </w:rPr>
        <w:t>第</w:t>
      </w:r>
      <w:r>
        <w:rPr>
          <w:rFonts w:ascii="Times New Roman" w:eastAsia="宋体"/>
          <w:color w:val="auto"/>
          <w:highlight w:val="none"/>
        </w:rPr>
        <w:t>5</w:t>
      </w:r>
      <w:r>
        <w:rPr>
          <w:rFonts w:hint="eastAsia" w:ascii="宋体" w:hAnsi="宋体" w:eastAsia="宋体" w:cs="宋体"/>
          <w:color w:val="auto"/>
          <w:highlight w:val="none"/>
        </w:rPr>
        <w:t>章规定的</w:t>
      </w:r>
      <w:r>
        <w:rPr>
          <w:rFonts w:hint="eastAsia" w:ascii="宋体" w:hAnsi="宋体" w:eastAsia="宋体" w:cs="宋体"/>
          <w:color w:val="auto"/>
          <w:highlight w:val="none"/>
          <w:lang w:val="en-US"/>
        </w:rPr>
        <w:t>外观和</w:t>
      </w:r>
      <w:r>
        <w:rPr>
          <w:rFonts w:hint="eastAsia" w:hAnsi="宋体" w:eastAsia="宋体"/>
          <w:color w:val="auto"/>
          <w:highlight w:val="none"/>
        </w:rPr>
        <w:t>所有</w:t>
      </w:r>
      <w:r>
        <w:rPr>
          <w:rFonts w:hint="eastAsia" w:hAnsi="宋体" w:eastAsia="宋体"/>
          <w:color w:val="auto"/>
          <w:highlight w:val="none"/>
          <w:lang w:val="en-US"/>
        </w:rPr>
        <w:t>理化</w:t>
      </w:r>
      <w:r>
        <w:rPr>
          <w:rFonts w:hint="eastAsia" w:hAnsi="宋体" w:eastAsia="宋体"/>
          <w:color w:val="auto"/>
          <w:highlight w:val="none"/>
        </w:rPr>
        <w:t>指标</w:t>
      </w:r>
      <w:r>
        <w:rPr>
          <w:rFonts w:hint="eastAsia" w:ascii="宋体" w:hAnsi="宋体" w:eastAsia="宋体" w:cs="宋体"/>
          <w:color w:val="auto"/>
          <w:highlight w:val="none"/>
        </w:rPr>
        <w:t>为出厂检验项目，应逐批检验。</w:t>
      </w:r>
      <w:bookmarkEnd w:id="49"/>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ascii="Times New Roman"/>
          <w:color w:val="auto"/>
          <w:szCs w:val="20"/>
          <w:highlight w:val="none"/>
        </w:rPr>
        <w:t>用相同</w:t>
      </w:r>
      <w:r>
        <w:rPr>
          <w:rFonts w:hint="eastAsia" w:ascii="Times New Roman"/>
          <w:color w:val="auto"/>
          <w:szCs w:val="20"/>
          <w:highlight w:val="none"/>
        </w:rPr>
        <w:t>生产</w:t>
      </w:r>
      <w:r>
        <w:rPr>
          <w:rFonts w:ascii="Times New Roman"/>
          <w:color w:val="auto"/>
          <w:szCs w:val="20"/>
          <w:highlight w:val="none"/>
        </w:rPr>
        <w:t>材料，基本相同的生产条件，</w:t>
      </w:r>
      <w:r>
        <w:rPr>
          <w:rFonts w:ascii="Times New Roman" w:hAnsi="宋体"/>
          <w:color w:val="auto"/>
          <w:szCs w:val="24"/>
          <w:highlight w:val="none"/>
        </w:rPr>
        <w:t>连续生产或同一班组生产的</w:t>
      </w:r>
      <w:r>
        <w:rPr>
          <w:rFonts w:hint="eastAsia" w:ascii="Times New Roman" w:hAnsi="宋体"/>
          <w:color w:val="auto"/>
          <w:szCs w:val="24"/>
          <w:highlight w:val="none"/>
        </w:rPr>
        <w:t>钠离子电池用铜铁锰酸钠</w:t>
      </w:r>
      <w:r>
        <w:rPr>
          <w:rFonts w:ascii="Times New Roman" w:hAnsi="宋体"/>
          <w:color w:val="auto"/>
          <w:szCs w:val="24"/>
          <w:highlight w:val="none"/>
        </w:rPr>
        <w:t>为一批。每批产品不超过</w:t>
      </w:r>
      <w:r>
        <w:rPr>
          <w:rFonts w:hint="eastAsia" w:ascii="Times New Roman" w:hAnsi="Times New Roman"/>
          <w:color w:val="auto"/>
          <w:szCs w:val="24"/>
          <w:highlight w:val="none"/>
          <w:lang w:val="en-US" w:eastAsia="zh-CN"/>
        </w:rPr>
        <w:t>5</w:t>
      </w:r>
      <w:r>
        <w:rPr>
          <w:rFonts w:ascii="Times New Roman" w:hAnsi="Times New Roman"/>
          <w:color w:val="auto"/>
          <w:szCs w:val="24"/>
          <w:highlight w:val="none"/>
        </w:rPr>
        <w:t xml:space="preserve"> t</w:t>
      </w:r>
      <w:r>
        <w:rPr>
          <w:rFonts w:hint="eastAsia" w:ascii="Times New Roman" w:hAnsi="Times New Roman"/>
          <w:color w:val="auto"/>
          <w:szCs w:val="24"/>
          <w:highlight w:val="none"/>
        </w:rPr>
        <w:t>。</w:t>
      </w:r>
    </w:p>
    <w:p>
      <w:pPr>
        <w:pStyle w:val="111"/>
        <w:spacing w:before="120" w:after="120" w:line="360" w:lineRule="exact"/>
        <w:rPr>
          <w:rFonts w:ascii="Times New Roman" w:eastAsia="宋体"/>
          <w:color w:val="auto"/>
          <w:highlight w:val="none"/>
        </w:rPr>
      </w:pPr>
      <w:r>
        <w:rPr>
          <w:rFonts w:ascii="Times New Roman" w:eastAsia="宋体"/>
          <w:color w:val="auto"/>
          <w:highlight w:val="none"/>
        </w:rPr>
        <w:t>按GB/T 6678的规定确定采样单元数</w:t>
      </w:r>
      <w:r>
        <w:rPr>
          <w:rFonts w:hint="eastAsia" w:ascii="Times New Roman" w:eastAsia="宋体"/>
          <w:color w:val="auto"/>
          <w:highlight w:val="none"/>
        </w:rPr>
        <w:t>，每批取样总量应不小于</w:t>
      </w:r>
      <w:r>
        <w:rPr>
          <w:rFonts w:ascii="Times New Roman" w:eastAsia="宋体"/>
          <w:color w:val="auto"/>
          <w:highlight w:val="none"/>
        </w:rPr>
        <w:t>5</w:t>
      </w:r>
      <w:r>
        <w:rPr>
          <w:rFonts w:hint="eastAsia" w:ascii="Times New Roman" w:eastAsia="宋体"/>
          <w:color w:val="auto"/>
          <w:highlight w:val="none"/>
        </w:rPr>
        <w:t xml:space="preserve"> kg。</w:t>
      </w:r>
      <w:r>
        <w:rPr>
          <w:rFonts w:ascii="Times New Roman" w:eastAsia="宋体"/>
          <w:color w:val="auto"/>
          <w:highlight w:val="none"/>
        </w:rPr>
        <w:t>采样时将采样器自包装袋的上方垂直插入至料层深度的3/4处采样</w:t>
      </w:r>
      <w:r>
        <w:rPr>
          <w:rFonts w:hint="eastAsia" w:ascii="Times New Roman" w:eastAsia="宋体"/>
          <w:color w:val="auto"/>
          <w:highlight w:val="none"/>
        </w:rPr>
        <w:t>，</w:t>
      </w:r>
      <w:r>
        <w:rPr>
          <w:rFonts w:ascii="Times New Roman" w:eastAsia="宋体"/>
          <w:color w:val="auto"/>
          <w:highlight w:val="none"/>
        </w:rPr>
        <w:t>将所采的样品混匀，用四分法缩分至约</w:t>
      </w:r>
      <w:r>
        <w:rPr>
          <w:rFonts w:hint="eastAsia" w:ascii="Times New Roman" w:eastAsia="宋体"/>
          <w:color w:val="auto"/>
          <w:highlight w:val="none"/>
          <w:lang w:val="en-US" w:eastAsia="zh-CN"/>
        </w:rPr>
        <w:t>20</w:t>
      </w:r>
      <w:r>
        <w:rPr>
          <w:rFonts w:ascii="Times New Roman" w:eastAsia="宋体"/>
          <w:color w:val="auto"/>
          <w:highlight w:val="none"/>
        </w:rPr>
        <w:t>00 g，分装入两个干燥、清洁的广口瓶或塑料袋中，密封，粘贴标签，注明产品名称、等级、批号和采样日期、采样者姓名等。一瓶（袋）用于检验，另一瓶（袋）保存备查，保存时间由生产厂根据实际情况确定。</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ascii="Times New Roman" w:hAnsi="Times New Roman"/>
          <w:color w:val="auto"/>
          <w:szCs w:val="24"/>
          <w:highlight w:val="none"/>
        </w:rPr>
        <w:t>采用GB/T 8170规定的修约值比较法对检验结果进行判定</w:t>
      </w:r>
      <w:r>
        <w:rPr>
          <w:rFonts w:hint="eastAsia" w:ascii="Times New Roman" w:hAnsi="Times New Roman"/>
          <w:color w:val="auto"/>
          <w:szCs w:val="24"/>
          <w:highlight w:val="none"/>
        </w:rPr>
        <w:t>。</w:t>
      </w:r>
      <w:r>
        <w:rPr>
          <w:rFonts w:ascii="Times New Roman" w:hAnsi="Times New Roman"/>
          <w:color w:val="auto"/>
          <w:szCs w:val="24"/>
          <w:highlight w:val="none"/>
        </w:rPr>
        <w:t>所有检验结果</w:t>
      </w:r>
      <w:r>
        <w:rPr>
          <w:rFonts w:hint="eastAsia" w:ascii="Times New Roman" w:hAnsi="Times New Roman"/>
          <w:color w:val="auto"/>
          <w:szCs w:val="24"/>
          <w:highlight w:val="none"/>
        </w:rPr>
        <w:t>均</w:t>
      </w:r>
      <w:r>
        <w:rPr>
          <w:rFonts w:ascii="Times New Roman" w:hAnsi="Times New Roman"/>
          <w:color w:val="auto"/>
          <w:szCs w:val="24"/>
          <w:highlight w:val="none"/>
        </w:rPr>
        <w:t>符合本文件要求，则该批产品合格</w:t>
      </w:r>
      <w:r>
        <w:rPr>
          <w:rFonts w:hint="eastAsia" w:ascii="Times New Roman" w:hAnsi="Times New Roman"/>
          <w:color w:val="auto"/>
          <w:szCs w:val="24"/>
          <w:highlight w:val="none"/>
        </w:rPr>
        <w:t>。</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hint="eastAsia" w:ascii="Times New Roman" w:hAnsi="Times New Roman"/>
          <w:color w:val="auto"/>
          <w:kern w:val="0"/>
          <w:szCs w:val="20"/>
          <w:highlight w:val="none"/>
        </w:rPr>
        <w:t>按6.12规定的方法制成6支试验电池，任取其中3支电池做首次放电比容量和首次充放电效率的检验，若有2支性能达不到本文件要求，判不合格；但允许另取3支电池做重复试验，若有2支性能都达到本文件要求，判该批产品合格。</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hint="eastAsia" w:ascii="Times New Roman" w:hAnsi="Times New Roman"/>
          <w:color w:val="auto"/>
          <w:kern w:val="0"/>
          <w:szCs w:val="20"/>
          <w:highlight w:val="none"/>
        </w:rPr>
        <w:t>按6.12规定的方法制成6支试验电池，任取其中3支电池做循环寿命的检验，若有2支性能达不到本文件要求，判不合格；但允许另取3支电池做重复试验，若有2支性能都达到本文件要求，判该批产品合格。</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ascii="Times New Roman" w:hAnsi="Times New Roman"/>
          <w:color w:val="auto"/>
          <w:szCs w:val="24"/>
          <w:highlight w:val="none"/>
        </w:rPr>
        <w:t>检验结果如有指标不符合</w:t>
      </w:r>
      <w:r>
        <w:rPr>
          <w:rFonts w:hint="eastAsia" w:ascii="宋体" w:hAnsi="宋体"/>
          <w:color w:val="auto"/>
          <w:szCs w:val="24"/>
          <w:highlight w:val="none"/>
        </w:rPr>
        <w:t>本文件要求时</w:t>
      </w:r>
      <w:r>
        <w:rPr>
          <w:rFonts w:ascii="Times New Roman" w:hAnsi="Times New Roman"/>
          <w:color w:val="auto"/>
          <w:szCs w:val="24"/>
          <w:highlight w:val="none"/>
        </w:rPr>
        <w:t>，应重新自2倍量的包装中采样进行复检，复检结果即使只有一项指标不符合本文件要求，则该批产品为不合格</w:t>
      </w:r>
      <w:r>
        <w:rPr>
          <w:rFonts w:hint="eastAsia" w:ascii="Times New Roman" w:hAnsi="Times New Roman"/>
          <w:color w:val="auto"/>
          <w:szCs w:val="24"/>
          <w:highlight w:val="none"/>
        </w:rPr>
        <w:t>。</w:t>
      </w:r>
    </w:p>
    <w:p>
      <w:pPr>
        <w:widowControl/>
        <w:numPr>
          <w:ilvl w:val="1"/>
          <w:numId w:val="2"/>
        </w:numPr>
        <w:adjustRightInd/>
        <w:spacing w:beforeLines="100" w:afterLines="100" w:line="360" w:lineRule="exact"/>
        <w:outlineLvl w:val="0"/>
        <w:rPr>
          <w:rFonts w:ascii="Times New Roman" w:hAnsi="Times New Roman" w:eastAsia="黑体"/>
          <w:color w:val="auto"/>
          <w:kern w:val="0"/>
          <w:szCs w:val="20"/>
          <w:highlight w:val="none"/>
        </w:rPr>
      </w:pPr>
      <w:r>
        <w:rPr>
          <w:rFonts w:hint="eastAsia" w:ascii="Times New Roman" w:hAnsi="Times New Roman" w:eastAsia="黑体"/>
          <w:color w:val="auto"/>
          <w:kern w:val="0"/>
          <w:szCs w:val="20"/>
          <w:highlight w:val="none"/>
        </w:rPr>
        <w:t>标志和随行文件</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hint="eastAsia" w:ascii="Times New Roman" w:hAnsi="宋体"/>
          <w:color w:val="auto"/>
          <w:szCs w:val="24"/>
          <w:highlight w:val="none"/>
        </w:rPr>
        <w:t>钠离子电池用铜铁锰酸钠</w:t>
      </w:r>
      <w:r>
        <w:rPr>
          <w:rFonts w:hint="eastAsia" w:ascii="Times New Roman" w:hAnsi="宋体" w:cs="宋体"/>
          <w:color w:val="auto"/>
          <w:szCs w:val="24"/>
          <w:highlight w:val="none"/>
        </w:rPr>
        <w:t>包装上应有牢固、清晰的标志，内容包括：生产厂名、厂址、产品名称、净含量、批号或生产日期、本文件编号及</w:t>
      </w:r>
      <w:r>
        <w:rPr>
          <w:rFonts w:ascii="Times New Roman" w:hAnsi="宋体"/>
          <w:color w:val="auto"/>
          <w:szCs w:val="24"/>
          <w:highlight w:val="none"/>
        </w:rPr>
        <w:t>GB/T 191</w:t>
      </w:r>
      <w:r>
        <w:rPr>
          <w:rFonts w:hint="eastAsia" w:ascii="Times New Roman" w:hAnsi="宋体"/>
          <w:color w:val="auto"/>
          <w:szCs w:val="24"/>
          <w:highlight w:val="none"/>
        </w:rPr>
        <w:t>—2008第2章</w:t>
      </w:r>
      <w:r>
        <w:rPr>
          <w:rFonts w:hint="eastAsia" w:ascii="Times New Roman" w:hAnsi="宋体" w:cs="宋体"/>
          <w:color w:val="auto"/>
          <w:szCs w:val="24"/>
          <w:highlight w:val="none"/>
        </w:rPr>
        <w:t>规定的“怕晒”“怕雨”标</w:t>
      </w:r>
      <w:r>
        <w:rPr>
          <w:rFonts w:hint="eastAsia" w:ascii="Times New Roman" w:hAnsi="宋体"/>
          <w:color w:val="auto"/>
          <w:szCs w:val="24"/>
          <w:highlight w:val="none"/>
        </w:rPr>
        <w:t>志。</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hint="eastAsia" w:ascii="Times New Roman" w:hAnsi="宋体" w:cs="宋体"/>
          <w:color w:val="auto"/>
          <w:szCs w:val="24"/>
          <w:highlight w:val="none"/>
        </w:rPr>
        <w:t>每批出厂的</w:t>
      </w:r>
      <w:r>
        <w:rPr>
          <w:rFonts w:hint="eastAsia" w:ascii="Times New Roman" w:hAnsi="宋体"/>
          <w:color w:val="auto"/>
          <w:szCs w:val="24"/>
          <w:highlight w:val="none"/>
        </w:rPr>
        <w:t>钠离子电池用铜铁锰酸钠</w:t>
      </w:r>
      <w:r>
        <w:rPr>
          <w:rFonts w:hint="eastAsia" w:ascii="Times New Roman" w:hAnsi="宋体" w:cs="宋体"/>
          <w:color w:val="auto"/>
          <w:szCs w:val="24"/>
          <w:highlight w:val="none"/>
        </w:rPr>
        <w:t>均应附有质量证明书，内容包括：生产厂名、厂址、产品名称、净含量、批号或生产日期、检验结果和本文件编号。</w:t>
      </w:r>
    </w:p>
    <w:p>
      <w:pPr>
        <w:widowControl/>
        <w:numPr>
          <w:ilvl w:val="1"/>
          <w:numId w:val="2"/>
        </w:numPr>
        <w:adjustRightInd/>
        <w:spacing w:beforeLines="100" w:afterLines="100" w:line="360" w:lineRule="exact"/>
        <w:outlineLvl w:val="0"/>
        <w:rPr>
          <w:rFonts w:ascii="Times New Roman" w:hAnsi="Times New Roman" w:eastAsia="黑体"/>
          <w:color w:val="auto"/>
          <w:kern w:val="0"/>
          <w:szCs w:val="20"/>
          <w:highlight w:val="none"/>
        </w:rPr>
      </w:pPr>
      <w:r>
        <w:rPr>
          <w:rFonts w:hint="eastAsia" w:ascii="Times New Roman" w:hAnsi="Times New Roman" w:eastAsia="黑体"/>
          <w:color w:val="auto"/>
          <w:kern w:val="0"/>
          <w:szCs w:val="20"/>
          <w:highlight w:val="none"/>
        </w:rPr>
        <w:t>包装、运输和贮存</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hint="eastAsia" w:ascii="Times New Roman" w:hAnsi="宋体"/>
          <w:color w:val="auto"/>
          <w:szCs w:val="24"/>
          <w:highlight w:val="none"/>
        </w:rPr>
        <w:t>钠离子电池用铜铁锰酸钠</w:t>
      </w:r>
      <w:r>
        <w:rPr>
          <w:rFonts w:hint="eastAsia" w:ascii="Times New Roman" w:hAnsi="Times New Roman"/>
          <w:color w:val="auto"/>
          <w:kern w:val="0"/>
          <w:szCs w:val="20"/>
          <w:highlight w:val="none"/>
        </w:rPr>
        <w:t>内包装为复合铝塑袋，抽真空热塑密封</w:t>
      </w:r>
      <w:r>
        <w:rPr>
          <w:rFonts w:ascii="Times New Roman" w:hAnsi="Times New Roman"/>
          <w:color w:val="auto"/>
          <w:szCs w:val="24"/>
          <w:highlight w:val="none"/>
        </w:rPr>
        <w:t>封口；</w:t>
      </w:r>
      <w:r>
        <w:rPr>
          <w:rFonts w:hint="eastAsia" w:ascii="Times New Roman" w:hAnsi="Times New Roman"/>
          <w:color w:val="auto"/>
          <w:szCs w:val="24"/>
          <w:highlight w:val="none"/>
        </w:rPr>
        <w:t>外包装采用纸箱或纸桶。</w:t>
      </w:r>
      <w:r>
        <w:rPr>
          <w:rFonts w:ascii="Times New Roman" w:hAnsi="Times New Roman"/>
          <w:color w:val="auto"/>
          <w:szCs w:val="24"/>
          <w:highlight w:val="none"/>
        </w:rPr>
        <w:t>每</w:t>
      </w:r>
      <w:r>
        <w:rPr>
          <w:rFonts w:hint="eastAsia" w:ascii="Times New Roman" w:hAnsi="Times New Roman"/>
          <w:color w:val="auto"/>
          <w:szCs w:val="24"/>
          <w:highlight w:val="none"/>
        </w:rPr>
        <w:t>件</w:t>
      </w:r>
      <w:r>
        <w:rPr>
          <w:rFonts w:ascii="Times New Roman" w:hAnsi="Times New Roman"/>
          <w:color w:val="auto"/>
          <w:szCs w:val="24"/>
          <w:highlight w:val="none"/>
        </w:rPr>
        <w:t>净含量20 kg</w:t>
      </w:r>
      <w:r>
        <w:rPr>
          <w:rFonts w:hint="eastAsia" w:ascii="Times New Roman" w:hAnsi="Times New Roman"/>
          <w:color w:val="auto"/>
          <w:szCs w:val="24"/>
          <w:highlight w:val="none"/>
        </w:rPr>
        <w:t>或2</w:t>
      </w:r>
      <w:r>
        <w:rPr>
          <w:rFonts w:ascii="Times New Roman" w:hAnsi="Times New Roman"/>
          <w:color w:val="auto"/>
          <w:szCs w:val="24"/>
          <w:highlight w:val="none"/>
        </w:rPr>
        <w:t>5 kg</w:t>
      </w:r>
      <w:r>
        <w:rPr>
          <w:rFonts w:hint="eastAsia" w:ascii="Times New Roman" w:hAnsi="Times New Roman"/>
          <w:color w:val="auto"/>
          <w:szCs w:val="24"/>
          <w:highlight w:val="none"/>
        </w:rPr>
        <w:t>。</w:t>
      </w:r>
      <w:r>
        <w:rPr>
          <w:rFonts w:ascii="Times New Roman" w:hAnsi="Times New Roman"/>
          <w:color w:val="auto"/>
          <w:szCs w:val="24"/>
          <w:highlight w:val="none"/>
        </w:rPr>
        <w:t>或</w:t>
      </w:r>
      <w:r>
        <w:rPr>
          <w:rFonts w:hint="eastAsia" w:ascii="宋体" w:hAnsi="宋体"/>
          <w:color w:val="auto"/>
          <w:szCs w:val="24"/>
          <w:highlight w:val="none"/>
        </w:rPr>
        <w:t>根据用户要求协商确定包装形式及净含量。</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hint="eastAsia" w:ascii="Times New Roman" w:hAnsi="宋体"/>
          <w:color w:val="auto"/>
          <w:szCs w:val="24"/>
          <w:highlight w:val="none"/>
        </w:rPr>
        <w:t>钠离子电池用铜铁锰酸钠在运输过程中应有</w:t>
      </w:r>
      <w:r>
        <w:rPr>
          <w:rFonts w:hint="eastAsia" w:ascii="宋体" w:hAnsi="宋体"/>
          <w:color w:val="auto"/>
          <w:szCs w:val="24"/>
          <w:highlight w:val="none"/>
        </w:rPr>
        <w:t>遮盖物，防止日晒、雨淋、受潮。</w:t>
      </w:r>
    </w:p>
    <w:p>
      <w:pPr>
        <w:widowControl/>
        <w:numPr>
          <w:ilvl w:val="2"/>
          <w:numId w:val="2"/>
        </w:numPr>
        <w:adjustRightInd/>
        <w:spacing w:beforeLines="50" w:afterLines="50" w:line="360" w:lineRule="exact"/>
        <w:outlineLvl w:val="1"/>
        <w:rPr>
          <w:rFonts w:ascii="Times New Roman" w:hAnsi="Times New Roman" w:eastAsia="黑体"/>
          <w:color w:val="auto"/>
          <w:kern w:val="0"/>
          <w:szCs w:val="20"/>
          <w:highlight w:val="none"/>
        </w:rPr>
      </w:pPr>
      <w:r>
        <w:rPr>
          <w:rFonts w:hint="eastAsia" w:ascii="Times New Roman" w:hAnsi="宋体"/>
          <w:color w:val="auto"/>
          <w:szCs w:val="24"/>
          <w:highlight w:val="none"/>
        </w:rPr>
        <w:t>钠离子电池用铜铁锰酸钠应贮存在</w:t>
      </w:r>
      <w:r>
        <w:rPr>
          <w:rFonts w:hint="eastAsia" w:ascii="宋体" w:hAnsi="宋体"/>
          <w:color w:val="auto"/>
          <w:szCs w:val="24"/>
          <w:highlight w:val="none"/>
        </w:rPr>
        <w:t>通风、干燥处，防止日晒、雨淋、受潮。</w:t>
      </w:r>
    </w:p>
    <w:p>
      <w:pPr>
        <w:widowControl/>
        <w:numPr>
          <w:ilvl w:val="2"/>
          <w:numId w:val="2"/>
        </w:numPr>
        <w:adjustRightInd/>
        <w:spacing w:beforeLines="50" w:afterLines="50" w:line="360" w:lineRule="exact"/>
        <w:outlineLvl w:val="1"/>
        <w:rPr>
          <w:rFonts w:ascii="Times New Roman" w:hAnsi="宋体"/>
          <w:color w:val="auto"/>
          <w:szCs w:val="24"/>
          <w:highlight w:val="none"/>
        </w:rPr>
      </w:pPr>
      <w:r>
        <w:rPr>
          <w:rFonts w:hint="eastAsia" w:ascii="Times New Roman" w:hAnsi="宋体"/>
          <w:color w:val="auto"/>
          <w:szCs w:val="24"/>
          <w:highlight w:val="none"/>
        </w:rPr>
        <w:t>钠离子电池用</w:t>
      </w:r>
      <w:r>
        <w:rPr>
          <w:rFonts w:hint="eastAsia" w:ascii="Times New Roman" w:hAnsi="宋体"/>
          <w:color w:val="auto"/>
          <w:szCs w:val="24"/>
          <w:highlight w:val="none"/>
          <w:lang w:val="en-US" w:eastAsia="zh-CN"/>
        </w:rPr>
        <w:t>铜</w:t>
      </w:r>
      <w:r>
        <w:rPr>
          <w:rFonts w:hint="eastAsia" w:ascii="Times New Roman" w:hAnsi="宋体"/>
          <w:color w:val="auto"/>
          <w:szCs w:val="24"/>
          <w:highlight w:val="none"/>
        </w:rPr>
        <w:t>铁锰酸钠在符合本标准规定的包装、运输、贮存条件下，自生产之日起保质期不少于12个月。</w:t>
      </w:r>
      <w:bookmarkStart w:id="50" w:name="_GoBack"/>
      <w:bookmarkEnd w:id="50"/>
    </w:p>
    <w:p>
      <w:pPr>
        <w:widowControl/>
        <w:adjustRightInd/>
        <w:spacing w:beforeLines="50" w:afterLines="50" w:line="360" w:lineRule="exact"/>
        <w:outlineLvl w:val="1"/>
        <w:rPr>
          <w:rFonts w:ascii="Times New Roman" w:hAnsi="宋体"/>
          <w:color w:val="auto"/>
          <w:szCs w:val="24"/>
          <w:highlight w:val="none"/>
        </w:rPr>
      </w:pPr>
    </w:p>
    <w:p>
      <w:pPr>
        <w:widowControl/>
        <w:adjustRightInd/>
        <w:spacing w:beforeLines="50" w:afterLines="50" w:line="360" w:lineRule="exact"/>
        <w:outlineLvl w:val="1"/>
        <w:rPr>
          <w:rFonts w:ascii="Times New Roman" w:hAnsi="Times New Roman" w:eastAsia="黑体"/>
          <w:color w:val="auto"/>
          <w:kern w:val="0"/>
          <w:szCs w:val="20"/>
          <w:highlight w:val="none"/>
        </w:rPr>
      </w:pPr>
    </w:p>
    <w:p>
      <w:pPr>
        <w:widowControl/>
        <w:adjustRightInd/>
        <w:spacing w:beforeLines="50" w:afterLines="50" w:line="240" w:lineRule="auto"/>
        <w:outlineLvl w:val="1"/>
        <w:rPr>
          <w:rFonts w:ascii="Times New Roman" w:hAnsi="Times New Roman" w:eastAsia="黑体"/>
          <w:color w:val="auto"/>
          <w:kern w:val="0"/>
          <w:szCs w:val="20"/>
          <w:highlight w:val="none"/>
        </w:rPr>
      </w:pPr>
      <w:r>
        <w:rPr>
          <w:rFonts w:ascii="Times New Roman" w:hAnsi="Times New Roman"/>
          <w:color w:val="auto"/>
          <w:szCs w:val="24"/>
          <w:highlight w:val="none"/>
        </w:rPr>
        <w:t xml:space="preserve">                            </w:t>
      </w:r>
      <w:r>
        <w:rPr>
          <w:rFonts w:hint="eastAsia" w:ascii="Times New Roman" w:hAnsi="Times New Roman"/>
          <w:color w:val="auto"/>
          <w:szCs w:val="24"/>
          <w:highlight w:val="none"/>
          <w:u w:val="single"/>
        </w:rPr>
        <w:t xml:space="preserve"> </w:t>
      </w:r>
      <w:r>
        <w:rPr>
          <w:rFonts w:ascii="Times New Roman" w:hAnsi="Times New Roman"/>
          <w:color w:val="auto"/>
          <w:szCs w:val="24"/>
          <w:highlight w:val="none"/>
          <w:u w:val="single"/>
        </w:rPr>
        <w:t xml:space="preserve">                                </w:t>
      </w:r>
      <w:r>
        <w:rPr>
          <w:rFonts w:hint="eastAsia" w:ascii="Times New Roman" w:hAnsi="Times New Roman"/>
          <w:color w:val="auto"/>
          <w:szCs w:val="24"/>
          <w:highlight w:val="none"/>
        </w:rPr>
        <w:t xml:space="preserve"> </w:t>
      </w:r>
    </w:p>
    <w:bookmarkEnd w:id="16"/>
    <w:p>
      <w:pPr>
        <w:pStyle w:val="62"/>
        <w:ind w:firstLine="0" w:firstLineChars="0"/>
        <w:jc w:val="center"/>
        <w:rPr>
          <w:color w:val="auto"/>
          <w:highlight w:val="none"/>
        </w:rPr>
      </w:pPr>
    </w:p>
    <w:sectPr>
      <w:pgSz w:w="11906" w:h="16838"/>
      <w:pgMar w:top="1417" w:right="1417" w:bottom="1417" w:left="1417" w:header="1418" w:footer="1134" w:gutter="283"/>
      <w:pgNumType w:start="1"/>
      <w:cols w:space="0"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both"/>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7"/>
    </w:pPr>
    <w:r>
      <w:fldChar w:fldCharType="begin">
        <w:ffData>
          <w:name w:val="文字1"/>
          <w:enabled/>
          <w:calcOnExit w:val="0"/>
          <w:textInput>
            <w:default w:val="XX/T"/>
          </w:textInput>
        </w:ffData>
      </w:fldChar>
    </w:r>
    <w:r>
      <w:rPr>
        <w:lang w:val="fr-FR"/>
      </w:rPr>
      <w:instrText xml:space="preserve"> FORMTEXT </w:instrText>
    </w:r>
    <w:r>
      <w:fldChar w:fldCharType="separate"/>
    </w:r>
    <w:r>
      <w:t>HG</w:t>
    </w:r>
    <w:r>
      <w:rPr>
        <w:lang w:val="fr-FR"/>
      </w:rPr>
      <w:t>/T</w:t>
    </w:r>
    <w:r>
      <w:fldChar w:fldCharType="end"/>
    </w:r>
    <w:r>
      <w:rPr>
        <w:lang w:val="fr-FR"/>
      </w:rPr>
      <w:t xml:space="preserve"> </w:t>
    </w:r>
    <w:r>
      <w:fldChar w:fldCharType="begin">
        <w:ffData>
          <w:name w:val="NSTD_CODE_F"/>
          <w:enabled/>
          <w:calcOnExit w:val="0"/>
          <w:textInput>
            <w:default w:val="XXXXX"/>
          </w:textInput>
        </w:ffData>
      </w:fldChar>
    </w:r>
    <w:r>
      <w:rPr>
        <w:lang w:val="fr-FR"/>
      </w:rPr>
      <w:instrText xml:space="preserve"> FORMTEXT </w:instrText>
    </w:r>
    <w:r>
      <w:fldChar w:fldCharType="separate"/>
    </w:r>
    <w:r>
      <w:rPr>
        <w:lang w:val="fr-FR"/>
      </w:rPr>
      <w:t>XXXXX</w:t>
    </w:r>
    <w:r>
      <w:fldChar w:fldCharType="end"/>
    </w:r>
    <w:r>
      <w:rPr>
        <w:rFonts w:hAnsi="黑体"/>
        <w:lang w:val="fr-FR"/>
      </w:rPr>
      <w:t>—</w:t>
    </w:r>
    <w:r>
      <w:fldChar w:fldCharType="begin">
        <w:ffData>
          <w:name w:val="NSTD_CODE_B"/>
          <w:enabled/>
          <w:calcOnExit w:val="0"/>
          <w:textInput>
            <w:default w:val="XXXX"/>
          </w:textInput>
        </w:ffData>
      </w:fldChar>
    </w:r>
    <w:r>
      <w:rPr>
        <w:lang w:val="fr-FR"/>
      </w:rPr>
      <w:instrText xml:space="preserve"> FORMTEXT </w:instrText>
    </w:r>
    <w:r>
      <w:fldChar w:fldCharType="separate"/>
    </w:r>
    <w:r>
      <w:rPr>
        <w:lang w:val="fr-FR"/>
      </w:rPr>
      <w:t>XXXX</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right"/>
    </w:pPr>
    <w:r>
      <w:fldChar w:fldCharType="begin"/>
    </w:r>
    <w:r>
      <w:instrText xml:space="preserve"> STYLEREF  标准文件_文件编号  \* MERGEFORMAT </w:instrText>
    </w:r>
    <w:r>
      <w:fldChar w:fldCharType="separate"/>
    </w:r>
    <w:r>
      <w:t>HG/T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70"/>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5"/>
      <w:suff w:val="nothing"/>
      <w:lvlText w:val="%1%2.%3　"/>
      <w:lvlJc w:val="left"/>
      <w:pPr>
        <w:ind w:left="0" w:firstLine="0"/>
      </w:pPr>
    </w:lvl>
    <w:lvl w:ilvl="3" w:tentative="0">
      <w:start w:val="1"/>
      <w:numFmt w:val="decimal"/>
      <w:pStyle w:val="124"/>
      <w:suff w:val="nothing"/>
      <w:lvlText w:val="%1%2.%3.%4　"/>
      <w:lvlJc w:val="left"/>
      <w:pPr>
        <w:ind w:left="0" w:firstLine="0"/>
      </w:pPr>
    </w:lvl>
    <w:lvl w:ilvl="4" w:tentative="0">
      <w:start w:val="1"/>
      <w:numFmt w:val="decimal"/>
      <w:pStyle w:val="159"/>
      <w:suff w:val="nothing"/>
      <w:lvlText w:val="%1%2.%3.%4.%5　"/>
      <w:lvlJc w:val="left"/>
      <w:pPr>
        <w:ind w:left="0" w:firstLine="0"/>
      </w:pPr>
    </w:lvl>
    <w:lvl w:ilvl="5" w:tentative="0">
      <w:start w:val="1"/>
      <w:numFmt w:val="decimal"/>
      <w:pStyle w:val="161"/>
      <w:suff w:val="nothing"/>
      <w:lvlText w:val="%1%2.%3.%4.%5.%6　"/>
      <w:lvlJc w:val="left"/>
      <w:pPr>
        <w:ind w:left="0" w:firstLine="0"/>
      </w:pPr>
    </w:lvl>
    <w:lvl w:ilvl="6" w:tentative="0">
      <w:start w:val="1"/>
      <w:numFmt w:val="decimal"/>
      <w:pStyle w:val="164"/>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6"/>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5"/>
      <w:lvlText w:val="%1"/>
      <w:lvlJc w:val="left"/>
      <w:pPr>
        <w:ind w:left="425" w:hanging="425"/>
      </w:pPr>
      <w:rPr>
        <w:rFonts w:hint="eastAsia"/>
      </w:rPr>
    </w:lvl>
    <w:lvl w:ilvl="1" w:tentative="0">
      <w:start w:val="1"/>
      <w:numFmt w:val="decimal"/>
      <w:pStyle w:val="206"/>
      <w:suff w:val="nothing"/>
      <w:lvlText w:val="%10.%2 "/>
      <w:lvlJc w:val="left"/>
      <w:pPr>
        <w:ind w:left="0" w:firstLine="0"/>
      </w:pPr>
      <w:rPr>
        <w:rFonts w:hint="eastAsia" w:ascii="黑体" w:eastAsia="黑体" w:hAnsiTheme="minorHAnsi"/>
        <w:b w:val="0"/>
        <w:i w:val="0"/>
        <w:sz w:val="21"/>
      </w:rPr>
    </w:lvl>
    <w:lvl w:ilvl="2" w:tentative="0">
      <w:start w:val="1"/>
      <w:numFmt w:val="decimal"/>
      <w:pStyle w:val="207"/>
      <w:suff w:val="nothing"/>
      <w:lvlText w:val="%10.%2.%3 "/>
      <w:lvlJc w:val="left"/>
      <w:pPr>
        <w:ind w:left="0" w:firstLine="0"/>
      </w:pPr>
      <w:rPr>
        <w:rFonts w:hint="eastAsia" w:ascii="黑体" w:eastAsia="黑体" w:hAnsiTheme="minorHAnsi"/>
        <w:b w:val="0"/>
        <w:i w:val="0"/>
        <w:sz w:val="21"/>
      </w:rPr>
    </w:lvl>
    <w:lvl w:ilvl="3" w:tentative="0">
      <w:start w:val="1"/>
      <w:numFmt w:val="decimal"/>
      <w:pStyle w:val="208"/>
      <w:suff w:val="nothing"/>
      <w:lvlText w:val="%10.%2.%3.%4 "/>
      <w:lvlJc w:val="left"/>
      <w:pPr>
        <w:ind w:left="0" w:firstLine="0"/>
      </w:pPr>
      <w:rPr>
        <w:rFonts w:hint="eastAsia" w:ascii="黑体" w:eastAsia="黑体" w:hAnsiTheme="minorHAnsi"/>
        <w:b w:val="0"/>
        <w:i w:val="0"/>
        <w:sz w:val="21"/>
      </w:rPr>
    </w:lvl>
    <w:lvl w:ilvl="4" w:tentative="0">
      <w:start w:val="1"/>
      <w:numFmt w:val="decimal"/>
      <w:pStyle w:val="209"/>
      <w:suff w:val="nothing"/>
      <w:lvlText w:val="%10.%2.%3.%4.%5 "/>
      <w:lvlJc w:val="left"/>
      <w:pPr>
        <w:ind w:left="0" w:firstLine="0"/>
      </w:pPr>
      <w:rPr>
        <w:rFonts w:hint="eastAsia" w:ascii="黑体" w:eastAsia="黑体" w:hAnsiTheme="minorHAnsi"/>
        <w:b w:val="0"/>
        <w:i w:val="0"/>
        <w:sz w:val="21"/>
      </w:rPr>
    </w:lvl>
    <w:lvl w:ilvl="5" w:tentative="0">
      <w:start w:val="1"/>
      <w:numFmt w:val="decimal"/>
      <w:pStyle w:val="210"/>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7"/>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3"/>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5"/>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0D6B683D"/>
    <w:multiLevelType w:val="multilevel"/>
    <w:tmpl w:val="0D6B683D"/>
    <w:lvl w:ilvl="0" w:tentative="0">
      <w:start w:val="1"/>
      <w:numFmt w:val="lowerLetter"/>
      <w:lvlText w:val="%1）"/>
      <w:lvlJc w:val="left"/>
      <w:pPr>
        <w:ind w:left="644" w:hanging="360"/>
      </w:pPr>
      <w:rPr>
        <w:rFonts w:hint="default" w:ascii="Times New Roman" w:hAnsi="Times New Roman" w:cs="Times New Roman"/>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8">
    <w:nsid w:val="1AD20F90"/>
    <w:multiLevelType w:val="multilevel"/>
    <w:tmpl w:val="1AD20F90"/>
    <w:lvl w:ilvl="0" w:tentative="0">
      <w:start w:val="1"/>
      <w:numFmt w:val="none"/>
      <w:pStyle w:val="116"/>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91"/>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8"/>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1FC91163"/>
    <w:multiLevelType w:val="multilevel"/>
    <w:tmpl w:val="1FC91163"/>
    <w:lvl w:ilvl="0" w:tentative="0">
      <w:start w:val="1"/>
      <w:numFmt w:val="decimal"/>
      <w:suff w:val="nothing"/>
      <w:lvlText w:val="%1　"/>
      <w:lvlJc w:val="left"/>
      <w:pPr>
        <w:ind w:left="993" w:firstLine="0"/>
      </w:pPr>
      <w:rPr>
        <w:rFonts w:hint="eastAsia" w:ascii="黑体" w:hAnsi="Times New Roman" w:eastAsia="黑体"/>
        <w:b w:val="0"/>
        <w:i w:val="0"/>
        <w:sz w:val="21"/>
        <w:szCs w:val="21"/>
      </w:rPr>
    </w:lvl>
    <w:lvl w:ilvl="1" w:tentative="0">
      <w:start w:val="1"/>
      <w:numFmt w:val="decimal"/>
      <w:pStyle w:val="24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auto"/>
        <w:spacing w:val="0"/>
        <w:kern w:val="0"/>
        <w:position w:val="0"/>
        <w:sz w:val="21"/>
        <w:szCs w:val="21"/>
        <w:u w:val="none"/>
        <w:vertAlign w:val="baseline"/>
      </w:rPr>
    </w:lvl>
    <w:lvl w:ilvl="2" w:tentative="0">
      <w:start w:val="1"/>
      <w:numFmt w:val="decimal"/>
      <w:pStyle w:val="238"/>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568"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20645A13"/>
    <w:multiLevelType w:val="multilevel"/>
    <w:tmpl w:val="20645A13"/>
    <w:lvl w:ilvl="0" w:tentative="0">
      <w:start w:val="1"/>
      <w:numFmt w:val="lowerLetter"/>
      <w:lvlText w:val="%1）"/>
      <w:lvlJc w:val="left"/>
      <w:pPr>
        <w:ind w:left="878"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3">
    <w:nsid w:val="2C5917C3"/>
    <w:multiLevelType w:val="multilevel"/>
    <w:tmpl w:val="2C5917C3"/>
    <w:lvl w:ilvl="0" w:tentative="0">
      <w:start w:val="1"/>
      <w:numFmt w:val="none"/>
      <w:pStyle w:val="138"/>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3"/>
      <w:lvlText w:val=""/>
      <w:lvlJc w:val="left"/>
      <w:pPr>
        <w:ind w:left="851" w:hanging="431"/>
      </w:pPr>
      <w:rPr>
        <w:rFonts w:hint="default" w:ascii="Symbol" w:hAnsi="Symbol"/>
        <w:sz w:val="21"/>
      </w:rPr>
    </w:lvl>
    <w:lvl w:ilvl="2" w:tentative="0">
      <w:start w:val="1"/>
      <w:numFmt w:val="bullet"/>
      <w:pStyle w:val="178"/>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tentative="0">
      <w:start w:val="1"/>
      <w:numFmt w:val="lowerLetter"/>
      <w:pStyle w:val="107"/>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44C50F90"/>
    <w:multiLevelType w:val="multilevel"/>
    <w:tmpl w:val="44C50F90"/>
    <w:lvl w:ilvl="0" w:tentative="0">
      <w:start w:val="1"/>
      <w:numFmt w:val="lowerLetter"/>
      <w:pStyle w:val="180"/>
      <w:lvlText w:val="%1)"/>
      <w:lvlJc w:val="left"/>
      <w:pPr>
        <w:tabs>
          <w:tab w:val="left" w:pos="851"/>
        </w:tabs>
        <w:ind w:left="851" w:hanging="426"/>
      </w:pPr>
      <w:rPr>
        <w:rFonts w:hint="eastAsia" w:ascii="宋体" w:hAnsi="Times New Roman" w:eastAsia="宋体"/>
        <w:sz w:val="21"/>
      </w:rPr>
    </w:lvl>
    <w:lvl w:ilvl="1" w:tentative="0">
      <w:start w:val="1"/>
      <w:numFmt w:val="decimal"/>
      <w:pStyle w:val="115"/>
      <w:lvlText w:val="%2)"/>
      <w:lvlJc w:val="left"/>
      <w:pPr>
        <w:tabs>
          <w:tab w:val="left" w:pos="1276"/>
        </w:tabs>
        <w:ind w:left="1276" w:hanging="425"/>
      </w:pPr>
      <w:rPr>
        <w:rFonts w:hint="eastAsia" w:ascii="宋体" w:hAnsi="Times New Roman" w:eastAsia="宋体"/>
        <w:sz w:val="21"/>
      </w:rPr>
    </w:lvl>
    <w:lvl w:ilvl="2" w:tentative="0">
      <w:start w:val="1"/>
      <w:numFmt w:val="decimal"/>
      <w:pStyle w:val="123"/>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204"/>
      <w:lvlText w:val="%1"/>
      <w:lvlJc w:val="left"/>
      <w:pPr>
        <w:ind w:left="420" w:hanging="420"/>
      </w:pPr>
      <w:rPr>
        <w:rFonts w:hint="eastAsia"/>
      </w:rPr>
    </w:lvl>
    <w:lvl w:ilvl="1" w:tentative="0">
      <w:start w:val="1"/>
      <w:numFmt w:val="decimal"/>
      <w:pStyle w:val="89"/>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9"/>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22"/>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99"/>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20"/>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205"/>
      <w:suff w:val="space"/>
      <w:lvlText w:val="%1"/>
      <w:lvlJc w:val="left"/>
      <w:pPr>
        <w:ind w:left="425" w:hanging="425"/>
      </w:pPr>
      <w:rPr>
        <w:rFonts w:hint="eastAsia"/>
      </w:rPr>
    </w:lvl>
    <w:lvl w:ilvl="1" w:tentative="0">
      <w:start w:val="1"/>
      <w:numFmt w:val="decimal"/>
      <w:pStyle w:val="83"/>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7"/>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44622F9"/>
    <w:multiLevelType w:val="multilevel"/>
    <w:tmpl w:val="644622F9"/>
    <w:lvl w:ilvl="0" w:tentative="0">
      <w:start w:val="1"/>
      <w:numFmt w:val="upp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tentative="0">
      <w:start w:val="1"/>
      <w:numFmt w:val="decimal"/>
      <w:pStyle w:val="118"/>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5">
    <w:nsid w:val="654A26C9"/>
    <w:multiLevelType w:val="multilevel"/>
    <w:tmpl w:val="654A26C9"/>
    <w:lvl w:ilvl="0" w:tentative="0">
      <w:start w:val="1"/>
      <w:numFmt w:val="none"/>
      <w:pStyle w:val="195"/>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6">
    <w:nsid w:val="657D3FBC"/>
    <w:multiLevelType w:val="multilevel"/>
    <w:tmpl w:val="657D3FBC"/>
    <w:lvl w:ilvl="0" w:tentative="0">
      <w:start w:val="1"/>
      <w:numFmt w:val="upperLetter"/>
      <w:pStyle w:val="82"/>
      <w:suff w:val="nothing"/>
      <w:lvlText w:val="附录%1"/>
      <w:lvlJc w:val="left"/>
      <w:pPr>
        <w:ind w:left="0" w:firstLine="0"/>
      </w:pPr>
      <w:rPr>
        <w:rFonts w:hint="eastAsia"/>
        <w:spacing w:val="100"/>
      </w:rPr>
    </w:lvl>
    <w:lvl w:ilvl="1" w:tentative="0">
      <w:start w:val="1"/>
      <w:numFmt w:val="decimal"/>
      <w:pStyle w:val="84"/>
      <w:suff w:val="nothing"/>
      <w:lvlText w:val="%1.%2　"/>
      <w:lvlJc w:val="left"/>
      <w:pPr>
        <w:ind w:left="0" w:firstLine="0"/>
      </w:pPr>
      <w:rPr>
        <w:rFonts w:hint="eastAsia" w:ascii="黑体" w:eastAsia="黑体"/>
        <w:b w:val="0"/>
        <w:i w:val="0"/>
        <w:sz w:val="21"/>
      </w:rPr>
    </w:lvl>
    <w:lvl w:ilvl="2" w:tentative="0">
      <w:start w:val="1"/>
      <w:numFmt w:val="decimal"/>
      <w:pStyle w:val="85"/>
      <w:suff w:val="nothing"/>
      <w:lvlText w:val="%1.%2.%3　"/>
      <w:lvlJc w:val="left"/>
      <w:pPr>
        <w:ind w:left="0" w:firstLine="0"/>
      </w:pPr>
      <w:rPr>
        <w:rFonts w:hint="eastAsia" w:ascii="黑体" w:eastAsia="黑体"/>
        <w:b w:val="0"/>
        <w:i w:val="0"/>
        <w:sz w:val="21"/>
      </w:rPr>
    </w:lvl>
    <w:lvl w:ilvl="3" w:tentative="0">
      <w:start w:val="1"/>
      <w:numFmt w:val="decimal"/>
      <w:pStyle w:val="87"/>
      <w:suff w:val="nothing"/>
      <w:lvlText w:val="%1.%2.%3.%4　"/>
      <w:lvlJc w:val="left"/>
      <w:pPr>
        <w:ind w:left="0" w:firstLine="0"/>
      </w:pPr>
      <w:rPr>
        <w:rFonts w:hint="eastAsia" w:ascii="黑体" w:eastAsia="黑体"/>
        <w:b w:val="0"/>
        <w:i w:val="0"/>
        <w:sz w:val="21"/>
      </w:rPr>
    </w:lvl>
    <w:lvl w:ilvl="4" w:tentative="0">
      <w:start w:val="1"/>
      <w:numFmt w:val="decimal"/>
      <w:pStyle w:val="88"/>
      <w:suff w:val="nothing"/>
      <w:lvlText w:val="%1.%2.%3.%4.%5　"/>
      <w:lvlJc w:val="left"/>
      <w:pPr>
        <w:ind w:left="0" w:firstLine="0"/>
      </w:pPr>
      <w:rPr>
        <w:rFonts w:hint="eastAsia" w:ascii="黑体" w:eastAsia="黑体"/>
        <w:b w:val="0"/>
        <w:i w:val="0"/>
        <w:sz w:val="21"/>
      </w:rPr>
    </w:lvl>
    <w:lvl w:ilvl="5" w:tentative="0">
      <w:start w:val="1"/>
      <w:numFmt w:val="decimal"/>
      <w:pStyle w:val="90"/>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tentative="0">
      <w:start w:val="1"/>
      <w:numFmt w:val="bullet"/>
      <w:pStyle w:val="194"/>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8">
    <w:nsid w:val="6CA41985"/>
    <w:multiLevelType w:val="multilevel"/>
    <w:tmpl w:val="6CA41985"/>
    <w:lvl w:ilvl="0" w:tentative="0">
      <w:start w:val="1"/>
      <w:numFmt w:val="decimal"/>
      <w:pStyle w:val="103"/>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6CE42AC1"/>
    <w:multiLevelType w:val="multilevel"/>
    <w:tmpl w:val="6CE42AC1"/>
    <w:lvl w:ilvl="0" w:tentative="0">
      <w:start w:val="1"/>
      <w:numFmt w:val="lowerLetter"/>
      <w:pStyle w:val="179"/>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CEA2025"/>
    <w:multiLevelType w:val="multilevel"/>
    <w:tmpl w:val="6CEA2025"/>
    <w:lvl w:ilvl="0" w:tentative="0">
      <w:start w:val="1"/>
      <w:numFmt w:val="none"/>
      <w:pStyle w:val="158"/>
      <w:suff w:val="nothing"/>
      <w:lvlText w:val="%1"/>
      <w:lvlJc w:val="left"/>
      <w:pPr>
        <w:ind w:left="0" w:firstLine="0"/>
      </w:pPr>
      <w:rPr>
        <w:rFonts w:hint="eastAsia"/>
      </w:rPr>
    </w:lvl>
    <w:lvl w:ilvl="1" w:tentative="0">
      <w:start w:val="1"/>
      <w:numFmt w:val="decimal"/>
      <w:pStyle w:val="110"/>
      <w:suff w:val="nothing"/>
      <w:lvlText w:val="%1%2　"/>
      <w:lvlJc w:val="left"/>
      <w:pPr>
        <w:ind w:left="0" w:firstLine="0"/>
      </w:pPr>
      <w:rPr>
        <w:rFonts w:hint="eastAsia" w:ascii="黑体" w:eastAsia="黑体"/>
        <w:b w:val="0"/>
        <w:i w:val="0"/>
        <w:sz w:val="21"/>
      </w:rPr>
    </w:lvl>
    <w:lvl w:ilvl="2" w:tentative="0">
      <w:start w:val="1"/>
      <w:numFmt w:val="decimal"/>
      <w:pStyle w:val="111"/>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71"/>
      <w:suff w:val="nothing"/>
      <w:lvlText w:val="%1%2.%3.%4　"/>
      <w:lvlJc w:val="left"/>
      <w:pPr>
        <w:ind w:left="2836" w:firstLine="0"/>
      </w:pPr>
      <w:rPr>
        <w:rFonts w:hint="eastAsia" w:ascii="黑体" w:eastAsia="黑体"/>
        <w:b w:val="0"/>
        <w:i w:val="0"/>
        <w:sz w:val="21"/>
      </w:rPr>
    </w:lvl>
    <w:lvl w:ilvl="4" w:tentative="0">
      <w:start w:val="1"/>
      <w:numFmt w:val="decimal"/>
      <w:pStyle w:val="100"/>
      <w:suff w:val="nothing"/>
      <w:lvlText w:val="%1%2.%3.%4.%5　"/>
      <w:lvlJc w:val="left"/>
      <w:pPr>
        <w:ind w:left="0" w:firstLine="0"/>
      </w:pPr>
      <w:rPr>
        <w:rFonts w:hint="eastAsia" w:ascii="黑体" w:eastAsia="黑体"/>
        <w:b w:val="0"/>
        <w:i w:val="0"/>
        <w:sz w:val="21"/>
      </w:rPr>
    </w:lvl>
    <w:lvl w:ilvl="5" w:tentative="0">
      <w:start w:val="1"/>
      <w:numFmt w:val="decimal"/>
      <w:pStyle w:val="104"/>
      <w:suff w:val="nothing"/>
      <w:lvlText w:val="%1%2.%3.%4.%5.%6　"/>
      <w:lvlJc w:val="left"/>
      <w:pPr>
        <w:ind w:left="710" w:firstLine="0"/>
      </w:pPr>
      <w:rPr>
        <w:rFonts w:hint="eastAsia" w:ascii="黑体" w:eastAsia="黑体"/>
        <w:b w:val="0"/>
        <w:i w:val="0"/>
        <w:sz w:val="21"/>
      </w:rPr>
    </w:lvl>
    <w:lvl w:ilvl="6" w:tentative="0">
      <w:start w:val="1"/>
      <w:numFmt w:val="decimal"/>
      <w:pStyle w:val="109"/>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1">
    <w:nsid w:val="6DBF04F4"/>
    <w:multiLevelType w:val="multilevel"/>
    <w:tmpl w:val="6DBF04F4"/>
    <w:lvl w:ilvl="0" w:tentative="0">
      <w:start w:val="1"/>
      <w:numFmt w:val="none"/>
      <w:pStyle w:val="185"/>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tentative="0">
      <w:start w:val="1"/>
      <w:numFmt w:val="decimal"/>
      <w:pStyle w:val="121"/>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76933334"/>
    <w:multiLevelType w:val="multilevel"/>
    <w:tmpl w:val="76933334"/>
    <w:lvl w:ilvl="0" w:tentative="0">
      <w:start w:val="1"/>
      <w:numFmt w:val="none"/>
      <w:pStyle w:val="145"/>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30"/>
  </w:num>
  <w:num w:numId="3">
    <w:abstractNumId w:val="5"/>
  </w:num>
  <w:num w:numId="4">
    <w:abstractNumId w:val="26"/>
  </w:num>
  <w:num w:numId="5">
    <w:abstractNumId w:val="21"/>
  </w:num>
  <w:num w:numId="6">
    <w:abstractNumId w:val="16"/>
  </w:num>
  <w:num w:numId="7">
    <w:abstractNumId w:val="9"/>
  </w:num>
  <w:num w:numId="8">
    <w:abstractNumId w:val="3"/>
  </w:num>
  <w:num w:numId="9">
    <w:abstractNumId w:val="10"/>
  </w:num>
  <w:num w:numId="10">
    <w:abstractNumId w:val="19"/>
  </w:num>
  <w:num w:numId="11">
    <w:abstractNumId w:val="28"/>
  </w:num>
  <w:num w:numId="12">
    <w:abstractNumId w:val="14"/>
  </w:num>
  <w:num w:numId="13">
    <w:abstractNumId w:val="15"/>
  </w:num>
  <w:num w:numId="14">
    <w:abstractNumId w:val="8"/>
  </w:num>
  <w:num w:numId="15">
    <w:abstractNumId w:val="22"/>
  </w:num>
  <w:num w:numId="16">
    <w:abstractNumId w:val="24"/>
  </w:num>
  <w:num w:numId="17">
    <w:abstractNumId w:val="20"/>
  </w:num>
  <w:num w:numId="18">
    <w:abstractNumId w:val="32"/>
  </w:num>
  <w:num w:numId="19">
    <w:abstractNumId w:val="18"/>
  </w:num>
  <w:num w:numId="20">
    <w:abstractNumId w:val="1"/>
  </w:num>
  <w:num w:numId="21">
    <w:abstractNumId w:val="13"/>
  </w:num>
  <w:num w:numId="22">
    <w:abstractNumId w:val="33"/>
  </w:num>
  <w:num w:numId="23">
    <w:abstractNumId w:val="23"/>
  </w:num>
  <w:num w:numId="24">
    <w:abstractNumId w:val="6"/>
  </w:num>
  <w:num w:numId="25">
    <w:abstractNumId w:val="29"/>
  </w:num>
  <w:num w:numId="26">
    <w:abstractNumId w:val="31"/>
  </w:num>
  <w:num w:numId="27">
    <w:abstractNumId w:val="2"/>
  </w:num>
  <w:num w:numId="28">
    <w:abstractNumId w:val="4"/>
  </w:num>
  <w:num w:numId="29">
    <w:abstractNumId w:val="17"/>
  </w:num>
  <w:num w:numId="30">
    <w:abstractNumId w:val="27"/>
  </w:num>
  <w:num w:numId="31">
    <w:abstractNumId w:val="25"/>
  </w:num>
  <w:num w:numId="32">
    <w:abstractNumId w:val="11"/>
  </w:num>
  <w:num w:numId="33">
    <w:abstractNumId w:val="12"/>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161F77"/>
    <w:rsid w:val="0000040A"/>
    <w:rsid w:val="00000A94"/>
    <w:rsid w:val="00001972"/>
    <w:rsid w:val="00001D9A"/>
    <w:rsid w:val="00007B3A"/>
    <w:rsid w:val="000107E0"/>
    <w:rsid w:val="00011FDE"/>
    <w:rsid w:val="00012FFD"/>
    <w:rsid w:val="00014162"/>
    <w:rsid w:val="00014340"/>
    <w:rsid w:val="00015AD9"/>
    <w:rsid w:val="00016A9C"/>
    <w:rsid w:val="00022184"/>
    <w:rsid w:val="00022762"/>
    <w:rsid w:val="000238E0"/>
    <w:rsid w:val="000249DB"/>
    <w:rsid w:val="0002595E"/>
    <w:rsid w:val="000303C3"/>
    <w:rsid w:val="00031CEA"/>
    <w:rsid w:val="000331D3"/>
    <w:rsid w:val="000346A5"/>
    <w:rsid w:val="000359C3"/>
    <w:rsid w:val="00035A7D"/>
    <w:rsid w:val="000410E8"/>
    <w:rsid w:val="0004249A"/>
    <w:rsid w:val="00043282"/>
    <w:rsid w:val="00044286"/>
    <w:rsid w:val="00047F28"/>
    <w:rsid w:val="00047F8C"/>
    <w:rsid w:val="000503AA"/>
    <w:rsid w:val="0005063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1B81"/>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E67"/>
    <w:rsid w:val="000B6A0B"/>
    <w:rsid w:val="000C0F6C"/>
    <w:rsid w:val="000C11DB"/>
    <w:rsid w:val="000C1492"/>
    <w:rsid w:val="000C2FBD"/>
    <w:rsid w:val="000C33FF"/>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1AC"/>
    <w:rsid w:val="000F19D5"/>
    <w:rsid w:val="000F4AEA"/>
    <w:rsid w:val="000F67E9"/>
    <w:rsid w:val="00104926"/>
    <w:rsid w:val="00104C5A"/>
    <w:rsid w:val="001074E6"/>
    <w:rsid w:val="00113B1E"/>
    <w:rsid w:val="00115979"/>
    <w:rsid w:val="0011711C"/>
    <w:rsid w:val="00124999"/>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14F9"/>
    <w:rsid w:val="00161F77"/>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33A"/>
    <w:rsid w:val="001852C9"/>
    <w:rsid w:val="00190087"/>
    <w:rsid w:val="001913C4"/>
    <w:rsid w:val="0019348F"/>
    <w:rsid w:val="00193A07"/>
    <w:rsid w:val="00194C95"/>
    <w:rsid w:val="00195C34"/>
    <w:rsid w:val="00197602"/>
    <w:rsid w:val="001A1A53"/>
    <w:rsid w:val="001A234A"/>
    <w:rsid w:val="001B06E8"/>
    <w:rsid w:val="001B193E"/>
    <w:rsid w:val="001B1ABF"/>
    <w:rsid w:val="001B71D0"/>
    <w:rsid w:val="001B71EE"/>
    <w:rsid w:val="001C04A8"/>
    <w:rsid w:val="001C2C03"/>
    <w:rsid w:val="001C42F7"/>
    <w:rsid w:val="001C49E5"/>
    <w:rsid w:val="001C680C"/>
    <w:rsid w:val="001C6A86"/>
    <w:rsid w:val="001C7FEA"/>
    <w:rsid w:val="001D0499"/>
    <w:rsid w:val="001D0BBE"/>
    <w:rsid w:val="001D0ED4"/>
    <w:rsid w:val="001D212F"/>
    <w:rsid w:val="001D29D7"/>
    <w:rsid w:val="001D2DE7"/>
    <w:rsid w:val="001D3089"/>
    <w:rsid w:val="001D411C"/>
    <w:rsid w:val="001E1B6A"/>
    <w:rsid w:val="001E2484"/>
    <w:rsid w:val="001E3CC4"/>
    <w:rsid w:val="001E4882"/>
    <w:rsid w:val="001E73AB"/>
    <w:rsid w:val="001F092D"/>
    <w:rsid w:val="001F143A"/>
    <w:rsid w:val="001F1605"/>
    <w:rsid w:val="001F182C"/>
    <w:rsid w:val="001F2508"/>
    <w:rsid w:val="001F37AD"/>
    <w:rsid w:val="001F4816"/>
    <w:rsid w:val="001F69B4"/>
    <w:rsid w:val="001F77C7"/>
    <w:rsid w:val="00200183"/>
    <w:rsid w:val="0020107D"/>
    <w:rsid w:val="00202AA4"/>
    <w:rsid w:val="002031F7"/>
    <w:rsid w:val="002040E6"/>
    <w:rsid w:val="0020527B"/>
    <w:rsid w:val="00205F2C"/>
    <w:rsid w:val="00210B15"/>
    <w:rsid w:val="002142EA"/>
    <w:rsid w:val="002204BB"/>
    <w:rsid w:val="00220758"/>
    <w:rsid w:val="00221B79"/>
    <w:rsid w:val="00221C6B"/>
    <w:rsid w:val="00224596"/>
    <w:rsid w:val="002253A1"/>
    <w:rsid w:val="00225CF8"/>
    <w:rsid w:val="0022794E"/>
    <w:rsid w:val="00233D64"/>
    <w:rsid w:val="00234784"/>
    <w:rsid w:val="0023482A"/>
    <w:rsid w:val="002359CB"/>
    <w:rsid w:val="00243540"/>
    <w:rsid w:val="002437C9"/>
    <w:rsid w:val="0024497B"/>
    <w:rsid w:val="0024515B"/>
    <w:rsid w:val="00246021"/>
    <w:rsid w:val="0024666E"/>
    <w:rsid w:val="00247F52"/>
    <w:rsid w:val="00250B25"/>
    <w:rsid w:val="00250BBE"/>
    <w:rsid w:val="002515C2"/>
    <w:rsid w:val="0025194F"/>
    <w:rsid w:val="00256023"/>
    <w:rsid w:val="0026148A"/>
    <w:rsid w:val="00262696"/>
    <w:rsid w:val="002634BC"/>
    <w:rsid w:val="002643C3"/>
    <w:rsid w:val="00264859"/>
    <w:rsid w:val="00264A0C"/>
    <w:rsid w:val="00267EF4"/>
    <w:rsid w:val="00270CB8"/>
    <w:rsid w:val="00272B08"/>
    <w:rsid w:val="00275D25"/>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A3"/>
    <w:rsid w:val="002A4CEA"/>
    <w:rsid w:val="002A5977"/>
    <w:rsid w:val="002A5A13"/>
    <w:rsid w:val="002A757F"/>
    <w:rsid w:val="002A7F44"/>
    <w:rsid w:val="002B0C40"/>
    <w:rsid w:val="002B1966"/>
    <w:rsid w:val="002B23E3"/>
    <w:rsid w:val="002B4508"/>
    <w:rsid w:val="002B5779"/>
    <w:rsid w:val="002B7332"/>
    <w:rsid w:val="002B7F51"/>
    <w:rsid w:val="002C09E7"/>
    <w:rsid w:val="002C3F07"/>
    <w:rsid w:val="002C5278"/>
    <w:rsid w:val="002C5E6A"/>
    <w:rsid w:val="002C7E12"/>
    <w:rsid w:val="002C7EBB"/>
    <w:rsid w:val="002D06C1"/>
    <w:rsid w:val="002D42B5"/>
    <w:rsid w:val="002D4F1A"/>
    <w:rsid w:val="002D6DA6"/>
    <w:rsid w:val="002D6EC6"/>
    <w:rsid w:val="002D79AC"/>
    <w:rsid w:val="002E039D"/>
    <w:rsid w:val="002E21F3"/>
    <w:rsid w:val="002E4D5A"/>
    <w:rsid w:val="002E6326"/>
    <w:rsid w:val="002F30E0"/>
    <w:rsid w:val="002F35E4"/>
    <w:rsid w:val="002F3730"/>
    <w:rsid w:val="002F38E1"/>
    <w:rsid w:val="002F6183"/>
    <w:rsid w:val="002F7634"/>
    <w:rsid w:val="002F7AF6"/>
    <w:rsid w:val="00300E63"/>
    <w:rsid w:val="00302F5F"/>
    <w:rsid w:val="0030441D"/>
    <w:rsid w:val="00306063"/>
    <w:rsid w:val="00313B85"/>
    <w:rsid w:val="00317988"/>
    <w:rsid w:val="003221B4"/>
    <w:rsid w:val="00322E62"/>
    <w:rsid w:val="00323C18"/>
    <w:rsid w:val="00324EDD"/>
    <w:rsid w:val="003331E4"/>
    <w:rsid w:val="003355FA"/>
    <w:rsid w:val="00336C64"/>
    <w:rsid w:val="00337162"/>
    <w:rsid w:val="0034194F"/>
    <w:rsid w:val="00341CA8"/>
    <w:rsid w:val="003420F3"/>
    <w:rsid w:val="00342DB8"/>
    <w:rsid w:val="00344605"/>
    <w:rsid w:val="003474AA"/>
    <w:rsid w:val="003504EA"/>
    <w:rsid w:val="00350D1D"/>
    <w:rsid w:val="00351901"/>
    <w:rsid w:val="00352C83"/>
    <w:rsid w:val="00354F48"/>
    <w:rsid w:val="0036031E"/>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87E"/>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2384"/>
    <w:rsid w:val="003B2AB4"/>
    <w:rsid w:val="003B5BF0"/>
    <w:rsid w:val="003B60BF"/>
    <w:rsid w:val="003B6BE3"/>
    <w:rsid w:val="003C010C"/>
    <w:rsid w:val="003C0A6C"/>
    <w:rsid w:val="003C2859"/>
    <w:rsid w:val="003C4C73"/>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1675"/>
    <w:rsid w:val="00404869"/>
    <w:rsid w:val="00405884"/>
    <w:rsid w:val="00407D39"/>
    <w:rsid w:val="00410C60"/>
    <w:rsid w:val="0041477A"/>
    <w:rsid w:val="004167A3"/>
    <w:rsid w:val="004329EB"/>
    <w:rsid w:val="00432DAA"/>
    <w:rsid w:val="00434305"/>
    <w:rsid w:val="00435DF7"/>
    <w:rsid w:val="0044083F"/>
    <w:rsid w:val="00441AE7"/>
    <w:rsid w:val="00445574"/>
    <w:rsid w:val="004467FB"/>
    <w:rsid w:val="00452D6B"/>
    <w:rsid w:val="00454484"/>
    <w:rsid w:val="0045517B"/>
    <w:rsid w:val="004563CD"/>
    <w:rsid w:val="00463B77"/>
    <w:rsid w:val="00463C7B"/>
    <w:rsid w:val="00463F02"/>
    <w:rsid w:val="004644A6"/>
    <w:rsid w:val="004659BD"/>
    <w:rsid w:val="0047040B"/>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B7F68"/>
    <w:rsid w:val="004C1A65"/>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46EF"/>
    <w:rsid w:val="004F6026"/>
    <w:rsid w:val="004F6456"/>
    <w:rsid w:val="004F696E"/>
    <w:rsid w:val="004F6C71"/>
    <w:rsid w:val="00501139"/>
    <w:rsid w:val="00502991"/>
    <w:rsid w:val="0050363E"/>
    <w:rsid w:val="005039BC"/>
    <w:rsid w:val="00503FB0"/>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0BF"/>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070A"/>
    <w:rsid w:val="00551F6F"/>
    <w:rsid w:val="00555044"/>
    <w:rsid w:val="00561475"/>
    <w:rsid w:val="0056487B"/>
    <w:rsid w:val="00564FB9"/>
    <w:rsid w:val="00571925"/>
    <w:rsid w:val="0057290C"/>
    <w:rsid w:val="00573D9E"/>
    <w:rsid w:val="005773F0"/>
    <w:rsid w:val="005801E3"/>
    <w:rsid w:val="00580828"/>
    <w:rsid w:val="00581802"/>
    <w:rsid w:val="005836A8"/>
    <w:rsid w:val="0058409C"/>
    <w:rsid w:val="00584262"/>
    <w:rsid w:val="00586630"/>
    <w:rsid w:val="00587ADD"/>
    <w:rsid w:val="00596160"/>
    <w:rsid w:val="005966E2"/>
    <w:rsid w:val="00597007"/>
    <w:rsid w:val="005A0966"/>
    <w:rsid w:val="005A11B7"/>
    <w:rsid w:val="005A260B"/>
    <w:rsid w:val="005A33D1"/>
    <w:rsid w:val="005A3F71"/>
    <w:rsid w:val="005A4A1B"/>
    <w:rsid w:val="005A5F9D"/>
    <w:rsid w:val="005A7830"/>
    <w:rsid w:val="005A7FCE"/>
    <w:rsid w:val="005B0F3F"/>
    <w:rsid w:val="005B473A"/>
    <w:rsid w:val="005B4903"/>
    <w:rsid w:val="005B51CE"/>
    <w:rsid w:val="005B5885"/>
    <w:rsid w:val="005B5CD7"/>
    <w:rsid w:val="005B6CF6"/>
    <w:rsid w:val="005B7422"/>
    <w:rsid w:val="005C0B6E"/>
    <w:rsid w:val="005C29B8"/>
    <w:rsid w:val="005C5F21"/>
    <w:rsid w:val="005C7156"/>
    <w:rsid w:val="005D0C75"/>
    <w:rsid w:val="005D1E63"/>
    <w:rsid w:val="005D4171"/>
    <w:rsid w:val="005D5F73"/>
    <w:rsid w:val="005D6A95"/>
    <w:rsid w:val="005D6B2C"/>
    <w:rsid w:val="005D6D9C"/>
    <w:rsid w:val="005E2335"/>
    <w:rsid w:val="005E34CA"/>
    <w:rsid w:val="005E3C18"/>
    <w:rsid w:val="005E5C47"/>
    <w:rsid w:val="005E6318"/>
    <w:rsid w:val="005E6812"/>
    <w:rsid w:val="005E70EA"/>
    <w:rsid w:val="005E7829"/>
    <w:rsid w:val="005E7881"/>
    <w:rsid w:val="005E78E0"/>
    <w:rsid w:val="005F0D9C"/>
    <w:rsid w:val="005F284E"/>
    <w:rsid w:val="006005B3"/>
    <w:rsid w:val="006015CE"/>
    <w:rsid w:val="00604784"/>
    <w:rsid w:val="00606419"/>
    <w:rsid w:val="00607D29"/>
    <w:rsid w:val="00612952"/>
    <w:rsid w:val="00614CC1"/>
    <w:rsid w:val="0061591E"/>
    <w:rsid w:val="00615A9D"/>
    <w:rsid w:val="00617387"/>
    <w:rsid w:val="006252D8"/>
    <w:rsid w:val="006259BC"/>
    <w:rsid w:val="0062636B"/>
    <w:rsid w:val="0062796D"/>
    <w:rsid w:val="00630F15"/>
    <w:rsid w:val="00632182"/>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2D2E"/>
    <w:rsid w:val="006840A6"/>
    <w:rsid w:val="00684881"/>
    <w:rsid w:val="006850CD"/>
    <w:rsid w:val="00685AAB"/>
    <w:rsid w:val="006A07AA"/>
    <w:rsid w:val="006A25E5"/>
    <w:rsid w:val="006A2B46"/>
    <w:rsid w:val="006A336D"/>
    <w:rsid w:val="006A37B9"/>
    <w:rsid w:val="006A6CED"/>
    <w:rsid w:val="006B06D8"/>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0A10"/>
    <w:rsid w:val="006D16C4"/>
    <w:rsid w:val="006D2571"/>
    <w:rsid w:val="006D3E96"/>
    <w:rsid w:val="006D4515"/>
    <w:rsid w:val="006D4BB1"/>
    <w:rsid w:val="006D63EC"/>
    <w:rsid w:val="006D6593"/>
    <w:rsid w:val="006D686E"/>
    <w:rsid w:val="006F03A8"/>
    <w:rsid w:val="006F126C"/>
    <w:rsid w:val="006F2ACA"/>
    <w:rsid w:val="006F2ADC"/>
    <w:rsid w:val="006F2BFE"/>
    <w:rsid w:val="006F31E9"/>
    <w:rsid w:val="006F56E5"/>
    <w:rsid w:val="006F6284"/>
    <w:rsid w:val="006F7FA6"/>
    <w:rsid w:val="007002C5"/>
    <w:rsid w:val="0070348B"/>
    <w:rsid w:val="00704387"/>
    <w:rsid w:val="00707669"/>
    <w:rsid w:val="00711CBA"/>
    <w:rsid w:val="00711E26"/>
    <w:rsid w:val="00711FB5"/>
    <w:rsid w:val="00712A01"/>
    <w:rsid w:val="00712CB1"/>
    <w:rsid w:val="007145B2"/>
    <w:rsid w:val="00714F58"/>
    <w:rsid w:val="00721D5C"/>
    <w:rsid w:val="00722FBF"/>
    <w:rsid w:val="00722FC2"/>
    <w:rsid w:val="00725949"/>
    <w:rsid w:val="0072631B"/>
    <w:rsid w:val="007264AF"/>
    <w:rsid w:val="00727FA2"/>
    <w:rsid w:val="00730AE9"/>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5402"/>
    <w:rsid w:val="00756B26"/>
    <w:rsid w:val="00756EDF"/>
    <w:rsid w:val="007642DC"/>
    <w:rsid w:val="00765C43"/>
    <w:rsid w:val="00765EFB"/>
    <w:rsid w:val="007671CA"/>
    <w:rsid w:val="0076744F"/>
    <w:rsid w:val="00767C61"/>
    <w:rsid w:val="0077008A"/>
    <w:rsid w:val="00770CCB"/>
    <w:rsid w:val="00773C1F"/>
    <w:rsid w:val="00774746"/>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29C"/>
    <w:rsid w:val="007B5A3D"/>
    <w:rsid w:val="007B5B95"/>
    <w:rsid w:val="007B68EA"/>
    <w:rsid w:val="007B7453"/>
    <w:rsid w:val="007C2D89"/>
    <w:rsid w:val="007C4593"/>
    <w:rsid w:val="007C5309"/>
    <w:rsid w:val="007C6069"/>
    <w:rsid w:val="007D06C4"/>
    <w:rsid w:val="007D1352"/>
    <w:rsid w:val="007D1685"/>
    <w:rsid w:val="007D2508"/>
    <w:rsid w:val="007D346A"/>
    <w:rsid w:val="007D6518"/>
    <w:rsid w:val="007D76BD"/>
    <w:rsid w:val="007E0BF1"/>
    <w:rsid w:val="007E0D02"/>
    <w:rsid w:val="007E258B"/>
    <w:rsid w:val="007F0ED8"/>
    <w:rsid w:val="007F0F63"/>
    <w:rsid w:val="007F3748"/>
    <w:rsid w:val="007F75CE"/>
    <w:rsid w:val="008013A4"/>
    <w:rsid w:val="008013D7"/>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1D6"/>
    <w:rsid w:val="0083348C"/>
    <w:rsid w:val="008373D3"/>
    <w:rsid w:val="00840617"/>
    <w:rsid w:val="0084288F"/>
    <w:rsid w:val="00842A47"/>
    <w:rsid w:val="00843C13"/>
    <w:rsid w:val="008454F8"/>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8038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8B3"/>
    <w:rsid w:val="008B4AC4"/>
    <w:rsid w:val="008B50C8"/>
    <w:rsid w:val="008B5281"/>
    <w:rsid w:val="008B7E05"/>
    <w:rsid w:val="008C1797"/>
    <w:rsid w:val="008C219C"/>
    <w:rsid w:val="008C2EC4"/>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135"/>
    <w:rsid w:val="008F17A3"/>
    <w:rsid w:val="008F1ED3"/>
    <w:rsid w:val="008F4C29"/>
    <w:rsid w:val="008F58DC"/>
    <w:rsid w:val="008F70BD"/>
    <w:rsid w:val="008F788F"/>
    <w:rsid w:val="008F7EA2"/>
    <w:rsid w:val="009001AF"/>
    <w:rsid w:val="009009D1"/>
    <w:rsid w:val="00902722"/>
    <w:rsid w:val="009027BC"/>
    <w:rsid w:val="009062E6"/>
    <w:rsid w:val="00911BE5"/>
    <w:rsid w:val="00913CA9"/>
    <w:rsid w:val="009145AE"/>
    <w:rsid w:val="009146CE"/>
    <w:rsid w:val="009148CD"/>
    <w:rsid w:val="00914CA7"/>
    <w:rsid w:val="00915C3E"/>
    <w:rsid w:val="009161A8"/>
    <w:rsid w:val="009245F5"/>
    <w:rsid w:val="009249EC"/>
    <w:rsid w:val="00926640"/>
    <w:rsid w:val="00926BA4"/>
    <w:rsid w:val="009273B3"/>
    <w:rsid w:val="009305B5"/>
    <w:rsid w:val="00932F0D"/>
    <w:rsid w:val="009429D5"/>
    <w:rsid w:val="00942BF1"/>
    <w:rsid w:val="00945180"/>
    <w:rsid w:val="00945428"/>
    <w:rsid w:val="0094607B"/>
    <w:rsid w:val="00952119"/>
    <w:rsid w:val="00953604"/>
    <w:rsid w:val="0095496B"/>
    <w:rsid w:val="009610DC"/>
    <w:rsid w:val="00961490"/>
    <w:rsid w:val="0096381A"/>
    <w:rsid w:val="00965E04"/>
    <w:rsid w:val="009674AD"/>
    <w:rsid w:val="00970CDC"/>
    <w:rsid w:val="009750AA"/>
    <w:rsid w:val="00977010"/>
    <w:rsid w:val="00977D02"/>
    <w:rsid w:val="009806DA"/>
    <w:rsid w:val="009809BB"/>
    <w:rsid w:val="0098364B"/>
    <w:rsid w:val="009842BF"/>
    <w:rsid w:val="009911AF"/>
    <w:rsid w:val="00991875"/>
    <w:rsid w:val="00991F92"/>
    <w:rsid w:val="00992985"/>
    <w:rsid w:val="00993889"/>
    <w:rsid w:val="00994782"/>
    <w:rsid w:val="00994C51"/>
    <w:rsid w:val="0099551B"/>
    <w:rsid w:val="00997BF1"/>
    <w:rsid w:val="009A089C"/>
    <w:rsid w:val="009A118E"/>
    <w:rsid w:val="009A21CD"/>
    <w:rsid w:val="009A278C"/>
    <w:rsid w:val="009A2BC2"/>
    <w:rsid w:val="009A42C1"/>
    <w:rsid w:val="009A5429"/>
    <w:rsid w:val="009A72AD"/>
    <w:rsid w:val="009A7DA8"/>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F03B3"/>
    <w:rsid w:val="00A01757"/>
    <w:rsid w:val="00A028C0"/>
    <w:rsid w:val="00A02BAE"/>
    <w:rsid w:val="00A0329F"/>
    <w:rsid w:val="00A05AA6"/>
    <w:rsid w:val="00A06A6B"/>
    <w:rsid w:val="00A07E47"/>
    <w:rsid w:val="00A129D0"/>
    <w:rsid w:val="00A12C33"/>
    <w:rsid w:val="00A138BA"/>
    <w:rsid w:val="00A14C8E"/>
    <w:rsid w:val="00A153D9"/>
    <w:rsid w:val="00A15F09"/>
    <w:rsid w:val="00A169B6"/>
    <w:rsid w:val="00A2271D"/>
    <w:rsid w:val="00A237D5"/>
    <w:rsid w:val="00A2490A"/>
    <w:rsid w:val="00A30EFC"/>
    <w:rsid w:val="00A31984"/>
    <w:rsid w:val="00A3198D"/>
    <w:rsid w:val="00A32D73"/>
    <w:rsid w:val="00A3367B"/>
    <w:rsid w:val="00A34EAA"/>
    <w:rsid w:val="00A3597D"/>
    <w:rsid w:val="00A4006C"/>
    <w:rsid w:val="00A40091"/>
    <w:rsid w:val="00A4030F"/>
    <w:rsid w:val="00A41C79"/>
    <w:rsid w:val="00A41CB5"/>
    <w:rsid w:val="00A42CDF"/>
    <w:rsid w:val="00A4307B"/>
    <w:rsid w:val="00A4452E"/>
    <w:rsid w:val="00A4472C"/>
    <w:rsid w:val="00A44E69"/>
    <w:rsid w:val="00A4661E"/>
    <w:rsid w:val="00A501EF"/>
    <w:rsid w:val="00A55BD6"/>
    <w:rsid w:val="00A55D50"/>
    <w:rsid w:val="00A57142"/>
    <w:rsid w:val="00A61D48"/>
    <w:rsid w:val="00A648CD"/>
    <w:rsid w:val="00A6537A"/>
    <w:rsid w:val="00A67866"/>
    <w:rsid w:val="00A70B07"/>
    <w:rsid w:val="00A723F8"/>
    <w:rsid w:val="00A738F8"/>
    <w:rsid w:val="00A77CCB"/>
    <w:rsid w:val="00A83D8D"/>
    <w:rsid w:val="00A83E8C"/>
    <w:rsid w:val="00A8446B"/>
    <w:rsid w:val="00A8473F"/>
    <w:rsid w:val="00A84D38"/>
    <w:rsid w:val="00A862D6"/>
    <w:rsid w:val="00A865EC"/>
    <w:rsid w:val="00A8715E"/>
    <w:rsid w:val="00A87647"/>
    <w:rsid w:val="00A9295B"/>
    <w:rsid w:val="00A93B09"/>
    <w:rsid w:val="00A952D7"/>
    <w:rsid w:val="00A963F7"/>
    <w:rsid w:val="00A96AD8"/>
    <w:rsid w:val="00AA052C"/>
    <w:rsid w:val="00AA1E45"/>
    <w:rsid w:val="00AA30E6"/>
    <w:rsid w:val="00AA4286"/>
    <w:rsid w:val="00AA456B"/>
    <w:rsid w:val="00AA46C4"/>
    <w:rsid w:val="00AA57F5"/>
    <w:rsid w:val="00AA672E"/>
    <w:rsid w:val="00AA6EC9"/>
    <w:rsid w:val="00AB6309"/>
    <w:rsid w:val="00AB6C5F"/>
    <w:rsid w:val="00AB7129"/>
    <w:rsid w:val="00AC27A6"/>
    <w:rsid w:val="00AC30F7"/>
    <w:rsid w:val="00AC3A5A"/>
    <w:rsid w:val="00AC4CD4"/>
    <w:rsid w:val="00AC4D95"/>
    <w:rsid w:val="00AC5DF4"/>
    <w:rsid w:val="00AD0AEF"/>
    <w:rsid w:val="00AD11B7"/>
    <w:rsid w:val="00AD1A94"/>
    <w:rsid w:val="00AD1C05"/>
    <w:rsid w:val="00AD4126"/>
    <w:rsid w:val="00AD421C"/>
    <w:rsid w:val="00AD44FA"/>
    <w:rsid w:val="00AD5D89"/>
    <w:rsid w:val="00AE070A"/>
    <w:rsid w:val="00AE101C"/>
    <w:rsid w:val="00AE232F"/>
    <w:rsid w:val="00AE3F93"/>
    <w:rsid w:val="00AE5EB4"/>
    <w:rsid w:val="00AF0C18"/>
    <w:rsid w:val="00AF47C5"/>
    <w:rsid w:val="00AF5398"/>
    <w:rsid w:val="00AF7260"/>
    <w:rsid w:val="00B049AF"/>
    <w:rsid w:val="00B07242"/>
    <w:rsid w:val="00B10534"/>
    <w:rsid w:val="00B10811"/>
    <w:rsid w:val="00B113DB"/>
    <w:rsid w:val="00B11D8A"/>
    <w:rsid w:val="00B12981"/>
    <w:rsid w:val="00B147DD"/>
    <w:rsid w:val="00B148F3"/>
    <w:rsid w:val="00B156FD"/>
    <w:rsid w:val="00B20551"/>
    <w:rsid w:val="00B21F61"/>
    <w:rsid w:val="00B261F1"/>
    <w:rsid w:val="00B265BC"/>
    <w:rsid w:val="00B27FAF"/>
    <w:rsid w:val="00B31B6F"/>
    <w:rsid w:val="00B31FB1"/>
    <w:rsid w:val="00B33952"/>
    <w:rsid w:val="00B33C5E"/>
    <w:rsid w:val="00B342F4"/>
    <w:rsid w:val="00B34369"/>
    <w:rsid w:val="00B34DC2"/>
    <w:rsid w:val="00B378E5"/>
    <w:rsid w:val="00B4346D"/>
    <w:rsid w:val="00B440F4"/>
    <w:rsid w:val="00B447A5"/>
    <w:rsid w:val="00B4654C"/>
    <w:rsid w:val="00B47293"/>
    <w:rsid w:val="00B5010D"/>
    <w:rsid w:val="00B50E50"/>
    <w:rsid w:val="00B52120"/>
    <w:rsid w:val="00B54ABC"/>
    <w:rsid w:val="00B56FBE"/>
    <w:rsid w:val="00B622E7"/>
    <w:rsid w:val="00B62B58"/>
    <w:rsid w:val="00B65149"/>
    <w:rsid w:val="00B66567"/>
    <w:rsid w:val="00B66F52"/>
    <w:rsid w:val="00B66FE5"/>
    <w:rsid w:val="00B72880"/>
    <w:rsid w:val="00B758BF"/>
    <w:rsid w:val="00B819DB"/>
    <w:rsid w:val="00B827A6"/>
    <w:rsid w:val="00B831CE"/>
    <w:rsid w:val="00B86677"/>
    <w:rsid w:val="00B87131"/>
    <w:rsid w:val="00B9346D"/>
    <w:rsid w:val="00B939B1"/>
    <w:rsid w:val="00B96D40"/>
    <w:rsid w:val="00B97386"/>
    <w:rsid w:val="00B978DB"/>
    <w:rsid w:val="00BA23DA"/>
    <w:rsid w:val="00BA263B"/>
    <w:rsid w:val="00BA42B2"/>
    <w:rsid w:val="00BA58D4"/>
    <w:rsid w:val="00BA5B9E"/>
    <w:rsid w:val="00BA7C9A"/>
    <w:rsid w:val="00BB5F8F"/>
    <w:rsid w:val="00BB657A"/>
    <w:rsid w:val="00BC1A4E"/>
    <w:rsid w:val="00BC5DC7"/>
    <w:rsid w:val="00BC6B8B"/>
    <w:rsid w:val="00BC73D8"/>
    <w:rsid w:val="00BD52D7"/>
    <w:rsid w:val="00BD5AD2"/>
    <w:rsid w:val="00BE0118"/>
    <w:rsid w:val="00BE22F3"/>
    <w:rsid w:val="00BE5B52"/>
    <w:rsid w:val="00BE6738"/>
    <w:rsid w:val="00BE7B8D"/>
    <w:rsid w:val="00BF0993"/>
    <w:rsid w:val="00BF10A9"/>
    <w:rsid w:val="00BF1703"/>
    <w:rsid w:val="00BF231C"/>
    <w:rsid w:val="00BF51E5"/>
    <w:rsid w:val="00BF74A6"/>
    <w:rsid w:val="00BF7718"/>
    <w:rsid w:val="00C013AD"/>
    <w:rsid w:val="00C020FB"/>
    <w:rsid w:val="00C04904"/>
    <w:rsid w:val="00C056B3"/>
    <w:rsid w:val="00C103E5"/>
    <w:rsid w:val="00C13319"/>
    <w:rsid w:val="00C13EE9"/>
    <w:rsid w:val="00C21540"/>
    <w:rsid w:val="00C21906"/>
    <w:rsid w:val="00C21BFA"/>
    <w:rsid w:val="00C24C8D"/>
    <w:rsid w:val="00C25FE2"/>
    <w:rsid w:val="00C260F4"/>
    <w:rsid w:val="00C26B53"/>
    <w:rsid w:val="00C279B2"/>
    <w:rsid w:val="00C33E50"/>
    <w:rsid w:val="00C34C20"/>
    <w:rsid w:val="00C35A3E"/>
    <w:rsid w:val="00C42130"/>
    <w:rsid w:val="00C423A4"/>
    <w:rsid w:val="00C44431"/>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3C24"/>
    <w:rsid w:val="00C9435D"/>
    <w:rsid w:val="00C952E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6549"/>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98B"/>
    <w:rsid w:val="00D10F50"/>
    <w:rsid w:val="00D11272"/>
    <w:rsid w:val="00D126F5"/>
    <w:rsid w:val="00D1489E"/>
    <w:rsid w:val="00D166C1"/>
    <w:rsid w:val="00D20737"/>
    <w:rsid w:val="00D21E81"/>
    <w:rsid w:val="00D223DE"/>
    <w:rsid w:val="00D25E37"/>
    <w:rsid w:val="00D2661A"/>
    <w:rsid w:val="00D27582"/>
    <w:rsid w:val="00D30B25"/>
    <w:rsid w:val="00D32719"/>
    <w:rsid w:val="00D33333"/>
    <w:rsid w:val="00D33E05"/>
    <w:rsid w:val="00D34CB7"/>
    <w:rsid w:val="00D352A2"/>
    <w:rsid w:val="00D4162B"/>
    <w:rsid w:val="00D446F2"/>
    <w:rsid w:val="00D4514F"/>
    <w:rsid w:val="00D451E2"/>
    <w:rsid w:val="00D45E89"/>
    <w:rsid w:val="00D45E8D"/>
    <w:rsid w:val="00D466AE"/>
    <w:rsid w:val="00D4734F"/>
    <w:rsid w:val="00D476ED"/>
    <w:rsid w:val="00D51BF3"/>
    <w:rsid w:val="00D54B98"/>
    <w:rsid w:val="00D56D85"/>
    <w:rsid w:val="00D621E8"/>
    <w:rsid w:val="00D66846"/>
    <w:rsid w:val="00D675FB"/>
    <w:rsid w:val="00D71F25"/>
    <w:rsid w:val="00D77031"/>
    <w:rsid w:val="00D81136"/>
    <w:rsid w:val="00D84941"/>
    <w:rsid w:val="00D84FA1"/>
    <w:rsid w:val="00D851F0"/>
    <w:rsid w:val="00D86DB7"/>
    <w:rsid w:val="00D9060C"/>
    <w:rsid w:val="00D926D0"/>
    <w:rsid w:val="00D93030"/>
    <w:rsid w:val="00D950E1"/>
    <w:rsid w:val="00D952A6"/>
    <w:rsid w:val="00D9746A"/>
    <w:rsid w:val="00D97F99"/>
    <w:rsid w:val="00DA05BF"/>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3C7B"/>
    <w:rsid w:val="00DC5B90"/>
    <w:rsid w:val="00DD00FF"/>
    <w:rsid w:val="00DD0619"/>
    <w:rsid w:val="00DD07FB"/>
    <w:rsid w:val="00DD25C6"/>
    <w:rsid w:val="00DD4FE5"/>
    <w:rsid w:val="00DD54B0"/>
    <w:rsid w:val="00DD57EE"/>
    <w:rsid w:val="00DD6BCC"/>
    <w:rsid w:val="00DE0A4B"/>
    <w:rsid w:val="00DE19E7"/>
    <w:rsid w:val="00DE2410"/>
    <w:rsid w:val="00DE2939"/>
    <w:rsid w:val="00DE6E81"/>
    <w:rsid w:val="00DE703F"/>
    <w:rsid w:val="00DE7595"/>
    <w:rsid w:val="00DF1961"/>
    <w:rsid w:val="00DF44DE"/>
    <w:rsid w:val="00DF4A10"/>
    <w:rsid w:val="00E01138"/>
    <w:rsid w:val="00E02DFB"/>
    <w:rsid w:val="00E030F9"/>
    <w:rsid w:val="00E0311A"/>
    <w:rsid w:val="00E03138"/>
    <w:rsid w:val="00E051FB"/>
    <w:rsid w:val="00E06404"/>
    <w:rsid w:val="00E11A85"/>
    <w:rsid w:val="00E12495"/>
    <w:rsid w:val="00E13420"/>
    <w:rsid w:val="00E15CCD"/>
    <w:rsid w:val="00E15D9E"/>
    <w:rsid w:val="00E202EF"/>
    <w:rsid w:val="00E210B5"/>
    <w:rsid w:val="00E2552F"/>
    <w:rsid w:val="00E3137A"/>
    <w:rsid w:val="00E32213"/>
    <w:rsid w:val="00E32CCF"/>
    <w:rsid w:val="00E33542"/>
    <w:rsid w:val="00E34A98"/>
    <w:rsid w:val="00E35D1E"/>
    <w:rsid w:val="00E364F9"/>
    <w:rsid w:val="00E365FA"/>
    <w:rsid w:val="00E36789"/>
    <w:rsid w:val="00E44A83"/>
    <w:rsid w:val="00E47881"/>
    <w:rsid w:val="00E502C1"/>
    <w:rsid w:val="00E502DD"/>
    <w:rsid w:val="00E50D3A"/>
    <w:rsid w:val="00E51387"/>
    <w:rsid w:val="00E51E68"/>
    <w:rsid w:val="00E520B8"/>
    <w:rsid w:val="00E52EFD"/>
    <w:rsid w:val="00E5408A"/>
    <w:rsid w:val="00E55F21"/>
    <w:rsid w:val="00E56800"/>
    <w:rsid w:val="00E6085D"/>
    <w:rsid w:val="00E62FF9"/>
    <w:rsid w:val="00E635D6"/>
    <w:rsid w:val="00E639BC"/>
    <w:rsid w:val="00E664CC"/>
    <w:rsid w:val="00E70388"/>
    <w:rsid w:val="00E70B15"/>
    <w:rsid w:val="00E70F92"/>
    <w:rsid w:val="00E74C54"/>
    <w:rsid w:val="00E77A03"/>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63E8"/>
    <w:rsid w:val="00EB74DB"/>
    <w:rsid w:val="00EC5190"/>
    <w:rsid w:val="00EC5359"/>
    <w:rsid w:val="00EC562A"/>
    <w:rsid w:val="00ED067A"/>
    <w:rsid w:val="00ED211B"/>
    <w:rsid w:val="00ED2B50"/>
    <w:rsid w:val="00EE0350"/>
    <w:rsid w:val="00EE0719"/>
    <w:rsid w:val="00EE0E80"/>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52E6"/>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6511"/>
    <w:rsid w:val="00F6194E"/>
    <w:rsid w:val="00F623AC"/>
    <w:rsid w:val="00F6395D"/>
    <w:rsid w:val="00F6412A"/>
    <w:rsid w:val="00F65893"/>
    <w:rsid w:val="00F66A4A"/>
    <w:rsid w:val="00F7009E"/>
    <w:rsid w:val="00F71E22"/>
    <w:rsid w:val="00F72142"/>
    <w:rsid w:val="00F72AE7"/>
    <w:rsid w:val="00F76E51"/>
    <w:rsid w:val="00F77D98"/>
    <w:rsid w:val="00F833BA"/>
    <w:rsid w:val="00F84FD0"/>
    <w:rsid w:val="00F853CF"/>
    <w:rsid w:val="00F859A8"/>
    <w:rsid w:val="00F9108B"/>
    <w:rsid w:val="00F91349"/>
    <w:rsid w:val="00F93A8A"/>
    <w:rsid w:val="00F95248"/>
    <w:rsid w:val="00F956A9"/>
    <w:rsid w:val="00F963ED"/>
    <w:rsid w:val="00F966CF"/>
    <w:rsid w:val="00F96CAE"/>
    <w:rsid w:val="00F97C99"/>
    <w:rsid w:val="00FA4FC4"/>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8B8"/>
    <w:rsid w:val="00FD59EB"/>
    <w:rsid w:val="00FD60F0"/>
    <w:rsid w:val="00FD7299"/>
    <w:rsid w:val="00FE1FBE"/>
    <w:rsid w:val="00FE3901"/>
    <w:rsid w:val="00FE39D3"/>
    <w:rsid w:val="00FE4BCE"/>
    <w:rsid w:val="00FE54AE"/>
    <w:rsid w:val="00FE576A"/>
    <w:rsid w:val="00FE7E79"/>
    <w:rsid w:val="00FF0F44"/>
    <w:rsid w:val="00FF3E7D"/>
    <w:rsid w:val="00FF44D4"/>
    <w:rsid w:val="00FF5B99"/>
    <w:rsid w:val="00FF730C"/>
    <w:rsid w:val="00FF73F4"/>
    <w:rsid w:val="00FF7CE4"/>
    <w:rsid w:val="00FF7E39"/>
    <w:rsid w:val="010A1ACE"/>
    <w:rsid w:val="01CD670F"/>
    <w:rsid w:val="0240623E"/>
    <w:rsid w:val="03342E70"/>
    <w:rsid w:val="03976D68"/>
    <w:rsid w:val="03D4722D"/>
    <w:rsid w:val="05752167"/>
    <w:rsid w:val="05C53971"/>
    <w:rsid w:val="064C0523"/>
    <w:rsid w:val="08C20CCF"/>
    <w:rsid w:val="09063C7B"/>
    <w:rsid w:val="0A2F3785"/>
    <w:rsid w:val="0AD83D83"/>
    <w:rsid w:val="0AE00538"/>
    <w:rsid w:val="0AE571A8"/>
    <w:rsid w:val="0B1022BA"/>
    <w:rsid w:val="0CA94673"/>
    <w:rsid w:val="0CD607C5"/>
    <w:rsid w:val="0D692116"/>
    <w:rsid w:val="0D816A35"/>
    <w:rsid w:val="0E8B5438"/>
    <w:rsid w:val="10010369"/>
    <w:rsid w:val="10321937"/>
    <w:rsid w:val="10F32FE6"/>
    <w:rsid w:val="12F85316"/>
    <w:rsid w:val="15D96806"/>
    <w:rsid w:val="162764A5"/>
    <w:rsid w:val="17E24A54"/>
    <w:rsid w:val="18030EE0"/>
    <w:rsid w:val="182A3A58"/>
    <w:rsid w:val="18FC04FF"/>
    <w:rsid w:val="1BFB046B"/>
    <w:rsid w:val="1C8806E6"/>
    <w:rsid w:val="1D682D08"/>
    <w:rsid w:val="1D9C4722"/>
    <w:rsid w:val="1E4806DA"/>
    <w:rsid w:val="1E8D4A54"/>
    <w:rsid w:val="1FA14366"/>
    <w:rsid w:val="21237E72"/>
    <w:rsid w:val="213F36A6"/>
    <w:rsid w:val="215D4FF6"/>
    <w:rsid w:val="21B740FD"/>
    <w:rsid w:val="22230833"/>
    <w:rsid w:val="238E73F0"/>
    <w:rsid w:val="23D40120"/>
    <w:rsid w:val="241B3DB4"/>
    <w:rsid w:val="248C61B6"/>
    <w:rsid w:val="24C2109B"/>
    <w:rsid w:val="24EB531E"/>
    <w:rsid w:val="25425356"/>
    <w:rsid w:val="260845C9"/>
    <w:rsid w:val="26FC2B3E"/>
    <w:rsid w:val="27474DD3"/>
    <w:rsid w:val="279600D2"/>
    <w:rsid w:val="28B5290C"/>
    <w:rsid w:val="28EB246E"/>
    <w:rsid w:val="28F32F97"/>
    <w:rsid w:val="29732598"/>
    <w:rsid w:val="2A014181"/>
    <w:rsid w:val="2B092120"/>
    <w:rsid w:val="2BBF128A"/>
    <w:rsid w:val="2C194A7F"/>
    <w:rsid w:val="2CBB15B6"/>
    <w:rsid w:val="2D984643"/>
    <w:rsid w:val="2D997500"/>
    <w:rsid w:val="2E0B3C17"/>
    <w:rsid w:val="2E552869"/>
    <w:rsid w:val="30FD2AD7"/>
    <w:rsid w:val="31841C35"/>
    <w:rsid w:val="33061A71"/>
    <w:rsid w:val="331C6994"/>
    <w:rsid w:val="37265173"/>
    <w:rsid w:val="37341A37"/>
    <w:rsid w:val="38DF4170"/>
    <w:rsid w:val="3B021A53"/>
    <w:rsid w:val="3BB44B22"/>
    <w:rsid w:val="3C042703"/>
    <w:rsid w:val="3D6F0064"/>
    <w:rsid w:val="3DAA0BF0"/>
    <w:rsid w:val="407B1EC5"/>
    <w:rsid w:val="40F21BD6"/>
    <w:rsid w:val="40F70F78"/>
    <w:rsid w:val="421D420D"/>
    <w:rsid w:val="427516A4"/>
    <w:rsid w:val="42902BFF"/>
    <w:rsid w:val="441811BD"/>
    <w:rsid w:val="49304F2C"/>
    <w:rsid w:val="4A0B39FD"/>
    <w:rsid w:val="4A1E595D"/>
    <w:rsid w:val="4AC650FA"/>
    <w:rsid w:val="4B5C3E94"/>
    <w:rsid w:val="4B643A1E"/>
    <w:rsid w:val="4CA26AA1"/>
    <w:rsid w:val="4D9C03E1"/>
    <w:rsid w:val="4E470113"/>
    <w:rsid w:val="4F761404"/>
    <w:rsid w:val="5119556F"/>
    <w:rsid w:val="51811CD4"/>
    <w:rsid w:val="51B90764"/>
    <w:rsid w:val="52067CAC"/>
    <w:rsid w:val="52266E3D"/>
    <w:rsid w:val="53FC5D57"/>
    <w:rsid w:val="55D94E7D"/>
    <w:rsid w:val="57524EF7"/>
    <w:rsid w:val="58344C78"/>
    <w:rsid w:val="58BB5BD2"/>
    <w:rsid w:val="59274983"/>
    <w:rsid w:val="5AFF3DD6"/>
    <w:rsid w:val="5B113FFB"/>
    <w:rsid w:val="5BB41BBF"/>
    <w:rsid w:val="5C5E1F11"/>
    <w:rsid w:val="5EBD3A2F"/>
    <w:rsid w:val="601766B2"/>
    <w:rsid w:val="60DF2B11"/>
    <w:rsid w:val="6217167A"/>
    <w:rsid w:val="629D0BAD"/>
    <w:rsid w:val="652945A0"/>
    <w:rsid w:val="657F03D8"/>
    <w:rsid w:val="659B67B6"/>
    <w:rsid w:val="686C41BA"/>
    <w:rsid w:val="69835072"/>
    <w:rsid w:val="6A9277E6"/>
    <w:rsid w:val="6BED5274"/>
    <w:rsid w:val="6FCC0B87"/>
    <w:rsid w:val="702E75D0"/>
    <w:rsid w:val="708562A6"/>
    <w:rsid w:val="70A94961"/>
    <w:rsid w:val="70C94816"/>
    <w:rsid w:val="72AE77EF"/>
    <w:rsid w:val="733B7399"/>
    <w:rsid w:val="739F39FD"/>
    <w:rsid w:val="73F04BCC"/>
    <w:rsid w:val="7457554F"/>
    <w:rsid w:val="75BE3131"/>
    <w:rsid w:val="75C64E50"/>
    <w:rsid w:val="75EA57AA"/>
    <w:rsid w:val="782E7B35"/>
    <w:rsid w:val="787C2E7C"/>
    <w:rsid w:val="790B4A6E"/>
    <w:rsid w:val="796F6452"/>
    <w:rsid w:val="79EA5C38"/>
    <w:rsid w:val="7BAD32F6"/>
    <w:rsid w:val="7CC059B7"/>
    <w:rsid w:val="7D710F59"/>
    <w:rsid w:val="FDFEC2D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4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2"/>
    <w:qFormat/>
    <w:uiPriority w:val="0"/>
    <w:pPr>
      <w:keepNext/>
      <w:keepLines/>
      <w:spacing w:before="260" w:after="260" w:line="416" w:lineRule="auto"/>
      <w:outlineLvl w:val="2"/>
    </w:pPr>
    <w:rPr>
      <w:b/>
      <w:bCs/>
      <w:sz w:val="32"/>
      <w:szCs w:val="32"/>
    </w:rPr>
  </w:style>
  <w:style w:type="paragraph" w:styleId="5">
    <w:name w:val="heading 4"/>
    <w:basedOn w:val="1"/>
    <w:next w:val="1"/>
    <w:link w:val="43"/>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4"/>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5"/>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6"/>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7"/>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8"/>
    <w:qFormat/>
    <w:uiPriority w:val="0"/>
    <w:pPr>
      <w:keepNext/>
      <w:keepLines/>
      <w:adjustRightInd/>
      <w:spacing w:before="240" w:after="64" w:line="320" w:lineRule="auto"/>
      <w:outlineLvl w:val="8"/>
    </w:pPr>
    <w:rPr>
      <w:rFonts w:ascii="Arial" w:hAnsi="Arial" w:eastAsia="黑体"/>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40"/>
    <w:semiHidden/>
    <w:unhideWhenUsed/>
    <w:qFormat/>
    <w:uiPriority w:val="99"/>
    <w:pPr>
      <w:jc w:val="left"/>
    </w:pPr>
  </w:style>
  <w:style w:type="paragraph" w:styleId="14">
    <w:name w:val="Body Text"/>
    <w:basedOn w:val="1"/>
    <w:link w:val="92"/>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Plain Text"/>
    <w:basedOn w:val="1"/>
    <w:qFormat/>
    <w:uiPriority w:val="0"/>
    <w:rPr>
      <w:rFonts w:ascii="宋体" w:hAnsi="Courier New"/>
      <w:szCs w:val="21"/>
    </w:rPr>
  </w:style>
  <w:style w:type="paragraph" w:styleId="18">
    <w:name w:val="endnote text"/>
    <w:basedOn w:val="1"/>
    <w:unhideWhenUsed/>
    <w:qFormat/>
    <w:uiPriority w:val="99"/>
    <w:pPr>
      <w:snapToGrid w:val="0"/>
    </w:pPr>
    <w:rPr>
      <w:szCs w:val="24"/>
    </w:rPr>
  </w:style>
  <w:style w:type="paragraph" w:styleId="19">
    <w:name w:val="Balloon Text"/>
    <w:basedOn w:val="1"/>
    <w:link w:val="51"/>
    <w:semiHidden/>
    <w:unhideWhenUsed/>
    <w:qFormat/>
    <w:uiPriority w:val="99"/>
    <w:rPr>
      <w:sz w:val="18"/>
      <w:szCs w:val="18"/>
    </w:rPr>
  </w:style>
  <w:style w:type="paragraph" w:styleId="20">
    <w:name w:val="footer"/>
    <w:basedOn w:val="1"/>
    <w:link w:val="50"/>
    <w:qFormat/>
    <w:uiPriority w:val="99"/>
    <w:pPr>
      <w:tabs>
        <w:tab w:val="center" w:pos="4153"/>
        <w:tab w:val="right" w:pos="8306"/>
      </w:tabs>
      <w:adjustRightInd/>
      <w:snapToGrid w:val="0"/>
      <w:spacing w:line="240" w:lineRule="auto"/>
      <w:jc w:val="right"/>
    </w:pPr>
    <w:rPr>
      <w:rFonts w:ascii="宋体"/>
      <w:sz w:val="18"/>
      <w:szCs w:val="18"/>
    </w:rPr>
  </w:style>
  <w:style w:type="paragraph" w:styleId="21">
    <w:name w:val="header"/>
    <w:basedOn w:val="1"/>
    <w:link w:val="49"/>
    <w:qFormat/>
    <w:uiPriority w:val="99"/>
    <w:pPr>
      <w:tabs>
        <w:tab w:val="center" w:pos="4153"/>
        <w:tab w:val="right" w:pos="8306"/>
      </w:tabs>
      <w:adjustRightInd/>
      <w:snapToGrid w:val="0"/>
      <w:jc w:val="center"/>
    </w:pPr>
    <w:rPr>
      <w:sz w:val="18"/>
      <w:szCs w:val="18"/>
    </w:rPr>
  </w:style>
  <w:style w:type="paragraph" w:styleId="22">
    <w:name w:val="toc 1"/>
    <w:basedOn w:val="1"/>
    <w:next w:val="1"/>
    <w:unhideWhenUsed/>
    <w:qFormat/>
    <w:uiPriority w:val="39"/>
    <w:rPr>
      <w:rFonts w:ascii="宋体"/>
    </w:rPr>
  </w:style>
  <w:style w:type="paragraph" w:styleId="23">
    <w:name w:val="toc 4"/>
    <w:basedOn w:val="1"/>
    <w:next w:val="1"/>
    <w:unhideWhenUsed/>
    <w:qFormat/>
    <w:uiPriority w:val="39"/>
    <w:pPr>
      <w:tabs>
        <w:tab w:val="right" w:leader="dot" w:pos="9344"/>
      </w:tabs>
      <w:spacing w:line="300" w:lineRule="exact"/>
      <w:ind w:left="629"/>
    </w:pPr>
    <w:rPr>
      <w:rFonts w:ascii="宋体"/>
    </w:rPr>
  </w:style>
  <w:style w:type="paragraph" w:styleId="24">
    <w:name w:val="footnote text"/>
    <w:basedOn w:val="1"/>
    <w:next w:val="1"/>
    <w:link w:val="105"/>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5">
    <w:name w:val="toc 6"/>
    <w:basedOn w:val="1"/>
    <w:next w:val="1"/>
    <w:unhideWhenUsed/>
    <w:qFormat/>
    <w:uiPriority w:val="39"/>
    <w:pPr>
      <w:spacing w:line="300" w:lineRule="exact"/>
      <w:ind w:left="1049"/>
    </w:pPr>
    <w:rPr>
      <w:rFonts w:ascii="宋体"/>
    </w:rPr>
  </w:style>
  <w:style w:type="paragraph" w:styleId="26">
    <w:name w:val="table of figures"/>
    <w:basedOn w:val="1"/>
    <w:next w:val="1"/>
    <w:semiHidden/>
    <w:qFormat/>
    <w:uiPriority w:val="0"/>
    <w:pPr>
      <w:adjustRightInd/>
      <w:spacing w:line="240" w:lineRule="auto"/>
      <w:jc w:val="left"/>
    </w:pPr>
    <w:rPr>
      <w:szCs w:val="24"/>
    </w:rPr>
  </w:style>
  <w:style w:type="paragraph" w:styleId="27">
    <w:name w:val="toc 2"/>
    <w:basedOn w:val="1"/>
    <w:next w:val="1"/>
    <w:unhideWhenUsed/>
    <w:qFormat/>
    <w:uiPriority w:val="39"/>
    <w:pPr>
      <w:tabs>
        <w:tab w:val="right" w:leader="dot" w:pos="9344"/>
      </w:tabs>
      <w:spacing w:line="300" w:lineRule="exact"/>
      <w:ind w:left="210"/>
    </w:pPr>
    <w:rPr>
      <w:rFonts w:ascii="宋体"/>
    </w:rPr>
  </w:style>
  <w:style w:type="paragraph" w:styleId="2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29">
    <w:name w:val="Title"/>
    <w:basedOn w:val="1"/>
    <w:link w:val="54"/>
    <w:qFormat/>
    <w:uiPriority w:val="0"/>
    <w:pPr>
      <w:spacing w:before="240" w:after="60"/>
      <w:jc w:val="center"/>
      <w:outlineLvl w:val="0"/>
    </w:pPr>
    <w:rPr>
      <w:rFonts w:ascii="Arial" w:hAnsi="Arial" w:cs="Arial"/>
      <w:b/>
      <w:bCs/>
      <w:sz w:val="32"/>
      <w:szCs w:val="32"/>
    </w:rPr>
  </w:style>
  <w:style w:type="paragraph" w:styleId="30">
    <w:name w:val="annotation subject"/>
    <w:basedOn w:val="13"/>
    <w:next w:val="13"/>
    <w:link w:val="241"/>
    <w:semiHidden/>
    <w:unhideWhenUsed/>
    <w:qFormat/>
    <w:uiPriority w:val="99"/>
    <w:rPr>
      <w:b/>
      <w:bCs/>
    </w:rPr>
  </w:style>
  <w:style w:type="table" w:styleId="32">
    <w:name w:val="Table Grid"/>
    <w:basedOn w:val="3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4">
    <w:name w:val="Strong"/>
    <w:qFormat/>
    <w:uiPriority w:val="22"/>
    <w:rPr>
      <w:b/>
      <w:bCs/>
    </w:rPr>
  </w:style>
  <w:style w:type="character" w:styleId="35">
    <w:name w:val="page number"/>
    <w:qFormat/>
    <w:uiPriority w:val="0"/>
    <w:rPr>
      <w:rFonts w:ascii="宋体" w:hAnsi="Times New Roman" w:eastAsia="宋体"/>
      <w:sz w:val="18"/>
    </w:rPr>
  </w:style>
  <w:style w:type="character" w:styleId="36">
    <w:name w:val="Emphasis"/>
    <w:qFormat/>
    <w:uiPriority w:val="20"/>
    <w:rPr>
      <w:i/>
      <w:iCs/>
    </w:rPr>
  </w:style>
  <w:style w:type="character" w:styleId="37">
    <w:name w:val="Hyperlink"/>
    <w:qFormat/>
    <w:uiPriority w:val="99"/>
    <w:rPr>
      <w:rFonts w:ascii="宋体" w:hAnsi="Times New Roman" w:eastAsia="宋体"/>
      <w:color w:val="auto"/>
      <w:spacing w:val="0"/>
      <w:w w:val="100"/>
      <w:position w:val="0"/>
      <w:sz w:val="21"/>
      <w:u w:val="none"/>
      <w:vertAlign w:val="baseline"/>
    </w:rPr>
  </w:style>
  <w:style w:type="character" w:styleId="38">
    <w:name w:val="annotation reference"/>
    <w:basedOn w:val="33"/>
    <w:semiHidden/>
    <w:unhideWhenUsed/>
    <w:qFormat/>
    <w:uiPriority w:val="99"/>
    <w:rPr>
      <w:sz w:val="21"/>
      <w:szCs w:val="21"/>
    </w:rPr>
  </w:style>
  <w:style w:type="character" w:styleId="39">
    <w:name w:val="footnote reference"/>
    <w:semiHidden/>
    <w:qFormat/>
    <w:uiPriority w:val="0"/>
    <w:rPr>
      <w:rFonts w:ascii="宋体" w:hAnsi="宋体" w:eastAsia="宋体" w:cs="Times New Roman"/>
      <w:spacing w:val="0"/>
      <w:sz w:val="18"/>
      <w:vertAlign w:val="superscript"/>
    </w:rPr>
  </w:style>
  <w:style w:type="character" w:customStyle="1" w:styleId="40">
    <w:name w:val="标题 1 Char"/>
    <w:link w:val="2"/>
    <w:qFormat/>
    <w:uiPriority w:val="0"/>
    <w:rPr>
      <w:rFonts w:ascii="Times New Roman" w:hAnsi="Times New Roman" w:eastAsia="宋体" w:cs="Times New Roman"/>
      <w:b/>
      <w:bCs/>
      <w:kern w:val="44"/>
      <w:sz w:val="44"/>
      <w:szCs w:val="44"/>
    </w:rPr>
  </w:style>
  <w:style w:type="character" w:customStyle="1" w:styleId="41">
    <w:name w:val="标题 2 Char"/>
    <w:link w:val="3"/>
    <w:qFormat/>
    <w:uiPriority w:val="0"/>
    <w:rPr>
      <w:rFonts w:ascii="Arial" w:hAnsi="Arial" w:eastAsia="黑体" w:cs="Times New Roman"/>
      <w:b/>
      <w:bCs/>
      <w:sz w:val="32"/>
      <w:szCs w:val="32"/>
    </w:rPr>
  </w:style>
  <w:style w:type="character" w:customStyle="1" w:styleId="42">
    <w:name w:val="标题 3 Char"/>
    <w:link w:val="4"/>
    <w:qFormat/>
    <w:uiPriority w:val="0"/>
    <w:rPr>
      <w:rFonts w:ascii="Times New Roman" w:hAnsi="Times New Roman" w:eastAsia="宋体" w:cs="Times New Roman"/>
      <w:b/>
      <w:bCs/>
      <w:sz w:val="32"/>
      <w:szCs w:val="32"/>
    </w:rPr>
  </w:style>
  <w:style w:type="character" w:customStyle="1" w:styleId="43">
    <w:name w:val="标题 4 Char"/>
    <w:link w:val="5"/>
    <w:qFormat/>
    <w:uiPriority w:val="0"/>
    <w:rPr>
      <w:rFonts w:ascii="Arial" w:hAnsi="Arial" w:eastAsia="黑体" w:cs="Times New Roman"/>
      <w:b/>
      <w:bCs/>
      <w:sz w:val="28"/>
      <w:szCs w:val="28"/>
    </w:rPr>
  </w:style>
  <w:style w:type="character" w:customStyle="1" w:styleId="44">
    <w:name w:val="标题 5 Char"/>
    <w:link w:val="6"/>
    <w:qFormat/>
    <w:uiPriority w:val="0"/>
    <w:rPr>
      <w:rFonts w:ascii="Times New Roman" w:hAnsi="Times New Roman" w:eastAsia="宋体" w:cs="Times New Roman"/>
      <w:b/>
      <w:bCs/>
      <w:sz w:val="28"/>
      <w:szCs w:val="28"/>
    </w:rPr>
  </w:style>
  <w:style w:type="character" w:customStyle="1" w:styleId="45">
    <w:name w:val="标题 6 Char"/>
    <w:link w:val="7"/>
    <w:qFormat/>
    <w:uiPriority w:val="0"/>
    <w:rPr>
      <w:rFonts w:ascii="Arial" w:hAnsi="Arial" w:eastAsia="黑体" w:cs="Times New Roman"/>
      <w:b/>
      <w:bCs/>
      <w:sz w:val="24"/>
      <w:szCs w:val="24"/>
    </w:rPr>
  </w:style>
  <w:style w:type="character" w:customStyle="1" w:styleId="46">
    <w:name w:val="标题 7 Char"/>
    <w:link w:val="8"/>
    <w:qFormat/>
    <w:uiPriority w:val="0"/>
    <w:rPr>
      <w:rFonts w:ascii="Times New Roman" w:hAnsi="Times New Roman" w:eastAsia="宋体" w:cs="Times New Roman"/>
      <w:b/>
      <w:bCs/>
      <w:sz w:val="24"/>
      <w:szCs w:val="24"/>
    </w:rPr>
  </w:style>
  <w:style w:type="character" w:customStyle="1" w:styleId="47">
    <w:name w:val="标题 8 Char"/>
    <w:link w:val="9"/>
    <w:qFormat/>
    <w:uiPriority w:val="0"/>
    <w:rPr>
      <w:rFonts w:ascii="Arial" w:hAnsi="Arial" w:eastAsia="黑体" w:cs="Times New Roman"/>
      <w:sz w:val="24"/>
      <w:szCs w:val="24"/>
    </w:rPr>
  </w:style>
  <w:style w:type="character" w:customStyle="1" w:styleId="48">
    <w:name w:val="标题 9 Char"/>
    <w:link w:val="10"/>
    <w:qFormat/>
    <w:uiPriority w:val="0"/>
    <w:rPr>
      <w:rFonts w:ascii="Arial" w:hAnsi="Arial" w:eastAsia="黑体" w:cs="Times New Roman"/>
      <w:szCs w:val="21"/>
    </w:rPr>
  </w:style>
  <w:style w:type="character" w:customStyle="1" w:styleId="49">
    <w:name w:val="页眉 Char"/>
    <w:link w:val="21"/>
    <w:qFormat/>
    <w:uiPriority w:val="99"/>
    <w:rPr>
      <w:rFonts w:ascii="Times New Roman" w:hAnsi="Times New Roman" w:eastAsia="宋体" w:cs="Times New Roman"/>
      <w:sz w:val="18"/>
      <w:szCs w:val="18"/>
    </w:rPr>
  </w:style>
  <w:style w:type="character" w:customStyle="1" w:styleId="50">
    <w:name w:val="页脚 Char"/>
    <w:link w:val="20"/>
    <w:qFormat/>
    <w:uiPriority w:val="99"/>
    <w:rPr>
      <w:rFonts w:ascii="宋体" w:hAnsi="Times New Roman" w:eastAsia="宋体" w:cs="Times New Roman"/>
      <w:sz w:val="18"/>
      <w:szCs w:val="18"/>
    </w:rPr>
  </w:style>
  <w:style w:type="character" w:customStyle="1" w:styleId="51">
    <w:name w:val="批注框文本 Char"/>
    <w:link w:val="19"/>
    <w:semiHidden/>
    <w:qFormat/>
    <w:uiPriority w:val="99"/>
    <w:rPr>
      <w:sz w:val="18"/>
      <w:szCs w:val="18"/>
    </w:rPr>
  </w:style>
  <w:style w:type="paragraph" w:styleId="52">
    <w:name w:val="Quote"/>
    <w:basedOn w:val="1"/>
    <w:next w:val="1"/>
    <w:link w:val="53"/>
    <w:qFormat/>
    <w:uiPriority w:val="29"/>
    <w:rPr>
      <w:i/>
      <w:iCs/>
      <w:color w:val="000000"/>
    </w:rPr>
  </w:style>
  <w:style w:type="character" w:customStyle="1" w:styleId="53">
    <w:name w:val="引用 Char"/>
    <w:link w:val="52"/>
    <w:qFormat/>
    <w:uiPriority w:val="29"/>
    <w:rPr>
      <w:i/>
      <w:iCs/>
      <w:color w:val="000000"/>
    </w:rPr>
  </w:style>
  <w:style w:type="character" w:customStyle="1" w:styleId="54">
    <w:name w:val="标题 Char"/>
    <w:link w:val="29"/>
    <w:qFormat/>
    <w:uiPriority w:val="0"/>
    <w:rPr>
      <w:rFonts w:ascii="Arial" w:hAnsi="Arial" w:eastAsia="宋体" w:cs="Arial"/>
      <w:b/>
      <w:bCs/>
      <w:sz w:val="32"/>
      <w:szCs w:val="32"/>
    </w:rPr>
  </w:style>
  <w:style w:type="paragraph" w:customStyle="1" w:styleId="55">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6">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7">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8">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9">
    <w:name w:val="标准书眉一"/>
    <w:qFormat/>
    <w:uiPriority w:val="0"/>
    <w:pPr>
      <w:jc w:val="both"/>
    </w:pPr>
    <w:rPr>
      <w:rFonts w:ascii="Times New Roman" w:hAnsi="Times New Roman" w:eastAsia="宋体" w:cs="Times New Roman"/>
      <w:lang w:val="en-US" w:eastAsia="zh-CN" w:bidi="ar-SA"/>
    </w:rPr>
  </w:style>
  <w:style w:type="paragraph" w:customStyle="1" w:styleId="60">
    <w:name w:val="标准文件_ICS"/>
    <w:basedOn w:val="1"/>
    <w:qFormat/>
    <w:uiPriority w:val="0"/>
    <w:pPr>
      <w:spacing w:line="0" w:lineRule="atLeast"/>
    </w:pPr>
    <w:rPr>
      <w:rFonts w:ascii="黑体" w:hAnsi="宋体" w:eastAsia="黑体"/>
    </w:rPr>
  </w:style>
  <w:style w:type="paragraph" w:customStyle="1" w:styleId="61">
    <w:name w:val="标准文件_标准正文"/>
    <w:basedOn w:val="1"/>
    <w:next w:val="62"/>
    <w:qFormat/>
    <w:uiPriority w:val="0"/>
    <w:pPr>
      <w:snapToGrid w:val="0"/>
      <w:ind w:firstLine="200" w:firstLineChars="200"/>
    </w:pPr>
    <w:rPr>
      <w:kern w:val="0"/>
    </w:rPr>
  </w:style>
  <w:style w:type="paragraph" w:customStyle="1" w:styleId="62">
    <w:name w:val="标准文件_段"/>
    <w:link w:val="19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3">
    <w:name w:val="标准文件_版本"/>
    <w:basedOn w:val="61"/>
    <w:qFormat/>
    <w:uiPriority w:val="0"/>
    <w:pPr>
      <w:adjustRightInd/>
      <w:snapToGrid/>
      <w:ind w:firstLine="0" w:firstLineChars="0"/>
    </w:pPr>
    <w:rPr>
      <w:rFonts w:ascii="宋体" w:hAnsi="宋体"/>
      <w:kern w:val="2"/>
    </w:rPr>
  </w:style>
  <w:style w:type="paragraph" w:customStyle="1" w:styleId="64">
    <w:name w:val="标准文件_标准部门"/>
    <w:basedOn w:val="1"/>
    <w:qFormat/>
    <w:uiPriority w:val="0"/>
    <w:pPr>
      <w:jc w:val="center"/>
    </w:pPr>
    <w:rPr>
      <w:rFonts w:ascii="黑体" w:eastAsia="黑体"/>
      <w:kern w:val="0"/>
      <w:sz w:val="44"/>
    </w:rPr>
  </w:style>
  <w:style w:type="paragraph" w:customStyle="1" w:styleId="65">
    <w:name w:val="标准文件_标准代替"/>
    <w:basedOn w:val="1"/>
    <w:next w:val="1"/>
    <w:qFormat/>
    <w:uiPriority w:val="0"/>
    <w:pPr>
      <w:spacing w:line="310" w:lineRule="exact"/>
      <w:jc w:val="right"/>
    </w:pPr>
    <w:rPr>
      <w:rFonts w:ascii="宋体" w:hAnsi="宋体"/>
      <w:kern w:val="0"/>
    </w:rPr>
  </w:style>
  <w:style w:type="paragraph" w:customStyle="1" w:styleId="66">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7">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8">
    <w:name w:val="标准文件_页眉偶数页"/>
    <w:basedOn w:val="67"/>
    <w:next w:val="1"/>
    <w:qFormat/>
    <w:uiPriority w:val="0"/>
    <w:pPr>
      <w:jc w:val="left"/>
    </w:pPr>
  </w:style>
  <w:style w:type="paragraph" w:customStyle="1" w:styleId="69">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70">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1">
    <w:name w:val="标准文件_二级条标题"/>
    <w:next w:val="62"/>
    <w:qFormat/>
    <w:uiPriority w:val="0"/>
    <w:pPr>
      <w:widowControl w:val="0"/>
      <w:numPr>
        <w:ilvl w:val="3"/>
        <w:numId w:val="2"/>
      </w:numPr>
      <w:spacing w:beforeLines="50" w:afterLines="50"/>
      <w:ind w:left="426"/>
      <w:jc w:val="both"/>
      <w:outlineLvl w:val="2"/>
    </w:pPr>
    <w:rPr>
      <w:rFonts w:ascii="黑体" w:hAnsi="Times New Roman" w:eastAsia="黑体" w:cs="Times New Roman"/>
      <w:sz w:val="21"/>
      <w:lang w:val="en-US" w:eastAsia="zh-CN" w:bidi="ar-SA"/>
    </w:rPr>
  </w:style>
  <w:style w:type="character" w:customStyle="1" w:styleId="72">
    <w:name w:val="标准文件_发布"/>
    <w:qFormat/>
    <w:uiPriority w:val="0"/>
    <w:rPr>
      <w:rFonts w:ascii="黑体" w:eastAsia="黑体"/>
      <w:spacing w:val="0"/>
      <w:w w:val="100"/>
      <w:position w:val="3"/>
      <w:sz w:val="28"/>
    </w:rPr>
  </w:style>
  <w:style w:type="paragraph" w:customStyle="1" w:styleId="73">
    <w:name w:val="标准文件_方框数字列项"/>
    <w:basedOn w:val="62"/>
    <w:qFormat/>
    <w:uiPriority w:val="0"/>
    <w:pPr>
      <w:numPr>
        <w:ilvl w:val="0"/>
        <w:numId w:val="3"/>
      </w:numPr>
      <w:ind w:firstLine="0" w:firstLineChars="0"/>
    </w:pPr>
  </w:style>
  <w:style w:type="paragraph" w:customStyle="1" w:styleId="74">
    <w:name w:val="标准文件_封面标准编号"/>
    <w:basedOn w:val="1"/>
    <w:next w:val="65"/>
    <w:qFormat/>
    <w:uiPriority w:val="0"/>
    <w:pPr>
      <w:spacing w:line="310" w:lineRule="exact"/>
      <w:jc w:val="right"/>
    </w:pPr>
    <w:rPr>
      <w:rFonts w:ascii="黑体" w:eastAsia="黑体"/>
      <w:kern w:val="0"/>
      <w:sz w:val="28"/>
    </w:rPr>
  </w:style>
  <w:style w:type="paragraph" w:customStyle="1" w:styleId="75">
    <w:name w:val="标准文件_封面标准分类号"/>
    <w:basedOn w:val="1"/>
    <w:qFormat/>
    <w:uiPriority w:val="0"/>
    <w:rPr>
      <w:rFonts w:ascii="黑体" w:eastAsia="黑体"/>
      <w:b/>
      <w:kern w:val="0"/>
      <w:sz w:val="28"/>
    </w:rPr>
  </w:style>
  <w:style w:type="paragraph" w:customStyle="1" w:styleId="76">
    <w:name w:val="标准文件_封面标准名称"/>
    <w:basedOn w:val="1"/>
    <w:qFormat/>
    <w:uiPriority w:val="0"/>
    <w:pPr>
      <w:spacing w:line="240" w:lineRule="auto"/>
      <w:jc w:val="center"/>
    </w:pPr>
    <w:rPr>
      <w:rFonts w:ascii="黑体" w:eastAsia="黑体"/>
      <w:kern w:val="0"/>
      <w:sz w:val="52"/>
    </w:rPr>
  </w:style>
  <w:style w:type="paragraph" w:customStyle="1" w:styleId="77">
    <w:name w:val="标准文件_封面标准英文名称"/>
    <w:basedOn w:val="1"/>
    <w:qFormat/>
    <w:uiPriority w:val="0"/>
    <w:pPr>
      <w:spacing w:line="240" w:lineRule="auto"/>
      <w:jc w:val="center"/>
    </w:pPr>
    <w:rPr>
      <w:rFonts w:ascii="黑体" w:eastAsia="黑体"/>
      <w:b/>
      <w:sz w:val="28"/>
    </w:rPr>
  </w:style>
  <w:style w:type="paragraph" w:customStyle="1" w:styleId="78">
    <w:name w:val="标准文件_封面发布日期"/>
    <w:basedOn w:val="1"/>
    <w:qFormat/>
    <w:uiPriority w:val="0"/>
    <w:pPr>
      <w:spacing w:line="310" w:lineRule="exact"/>
    </w:pPr>
    <w:rPr>
      <w:rFonts w:ascii="黑体" w:eastAsia="黑体"/>
      <w:kern w:val="0"/>
      <w:sz w:val="28"/>
    </w:rPr>
  </w:style>
  <w:style w:type="paragraph" w:customStyle="1" w:styleId="79">
    <w:name w:val="标准文件_封面密级"/>
    <w:basedOn w:val="1"/>
    <w:qFormat/>
    <w:uiPriority w:val="0"/>
    <w:rPr>
      <w:rFonts w:eastAsia="黑体"/>
      <w:sz w:val="32"/>
    </w:rPr>
  </w:style>
  <w:style w:type="paragraph" w:customStyle="1" w:styleId="80">
    <w:name w:val="标准文件_封面实施日期"/>
    <w:basedOn w:val="1"/>
    <w:qFormat/>
    <w:uiPriority w:val="0"/>
    <w:pPr>
      <w:spacing w:line="310" w:lineRule="exact"/>
      <w:jc w:val="right"/>
    </w:pPr>
    <w:rPr>
      <w:rFonts w:ascii="黑体" w:eastAsia="黑体"/>
      <w:sz w:val="28"/>
    </w:rPr>
  </w:style>
  <w:style w:type="paragraph" w:customStyle="1" w:styleId="81">
    <w:name w:val="标准文件_封面抬头"/>
    <w:basedOn w:val="62"/>
    <w:qFormat/>
    <w:uiPriority w:val="0"/>
    <w:pPr>
      <w:adjustRightInd w:val="0"/>
      <w:spacing w:line="800" w:lineRule="exact"/>
      <w:ind w:firstLine="0" w:firstLineChars="0"/>
      <w:jc w:val="distribute"/>
    </w:pPr>
    <w:rPr>
      <w:rFonts w:ascii="黑体" w:eastAsia="黑体"/>
      <w:b/>
      <w:sz w:val="64"/>
    </w:rPr>
  </w:style>
  <w:style w:type="paragraph" w:customStyle="1" w:styleId="82">
    <w:name w:val="标准文件_附录标识"/>
    <w:next w:val="62"/>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3">
    <w:name w:val="标准文件_附录表标题"/>
    <w:next w:val="62"/>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4">
    <w:name w:val="标准文件_附录一级条标题"/>
    <w:next w:val="62"/>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5">
    <w:name w:val="标准文件_附录二级条标题"/>
    <w:basedOn w:val="84"/>
    <w:next w:val="62"/>
    <w:qFormat/>
    <w:uiPriority w:val="0"/>
    <w:pPr>
      <w:widowControl/>
      <w:numPr>
        <w:ilvl w:val="2"/>
      </w:numPr>
      <w:wordWrap w:val="0"/>
      <w:overflowPunct w:val="0"/>
      <w:autoSpaceDE w:val="0"/>
      <w:autoSpaceDN w:val="0"/>
      <w:textAlignment w:val="baseline"/>
      <w:outlineLvl w:val="3"/>
    </w:pPr>
  </w:style>
  <w:style w:type="paragraph" w:customStyle="1" w:styleId="86">
    <w:name w:val="标准文件_附录公式"/>
    <w:basedOn w:val="61"/>
    <w:next w:val="61"/>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7">
    <w:name w:val="标准文件_附录三级条标题"/>
    <w:next w:val="62"/>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8">
    <w:name w:val="标准文件_附录四级条标题"/>
    <w:next w:val="62"/>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9">
    <w:name w:val="标准文件_附录图标题"/>
    <w:next w:val="62"/>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90">
    <w:name w:val="标准文件_附录五级条标题"/>
    <w:next w:val="62"/>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91">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2">
    <w:name w:val="正文文本 Char"/>
    <w:link w:val="14"/>
    <w:qFormat/>
    <w:uiPriority w:val="0"/>
    <w:rPr>
      <w:rFonts w:ascii="Times New Roman" w:hAnsi="Times New Roman" w:eastAsia="宋体" w:cs="Times New Roman"/>
      <w:szCs w:val="20"/>
    </w:rPr>
  </w:style>
  <w:style w:type="paragraph" w:customStyle="1" w:styleId="93">
    <w:name w:val="标准文件_附录章标题"/>
    <w:next w:val="62"/>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4">
    <w:name w:val="标准文件_公式后的破折号"/>
    <w:basedOn w:val="62"/>
    <w:next w:val="62"/>
    <w:qFormat/>
    <w:uiPriority w:val="0"/>
    <w:pPr>
      <w:ind w:left="488" w:leftChars="200" w:hanging="289" w:hangingChars="290"/>
    </w:pPr>
  </w:style>
  <w:style w:type="paragraph" w:customStyle="1" w:styleId="95">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6">
    <w:name w:val="标准文件_目次、标准名称标题"/>
    <w:basedOn w:val="95"/>
    <w:next w:val="62"/>
    <w:qFormat/>
    <w:uiPriority w:val="0"/>
    <w:pPr>
      <w:spacing w:line="460" w:lineRule="exact"/>
    </w:pPr>
  </w:style>
  <w:style w:type="paragraph" w:customStyle="1" w:styleId="97">
    <w:name w:val="标准文件_目录标题"/>
    <w:basedOn w:val="1"/>
    <w:qFormat/>
    <w:uiPriority w:val="0"/>
    <w:pPr>
      <w:spacing w:afterLines="150" w:line="240" w:lineRule="auto"/>
      <w:jc w:val="center"/>
    </w:pPr>
    <w:rPr>
      <w:rFonts w:ascii="黑体" w:eastAsia="黑体"/>
      <w:sz w:val="32"/>
    </w:rPr>
  </w:style>
  <w:style w:type="paragraph" w:customStyle="1" w:styleId="98">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9">
    <w:name w:val="标准文件_破折号列项（二级）"/>
    <w:basedOn w:val="98"/>
    <w:qFormat/>
    <w:uiPriority w:val="0"/>
    <w:pPr>
      <w:numPr>
        <w:numId w:val="10"/>
      </w:numPr>
      <w:ind w:left="0" w:firstLine="200"/>
    </w:pPr>
  </w:style>
  <w:style w:type="paragraph" w:customStyle="1" w:styleId="100">
    <w:name w:val="标准文件_三级条标题"/>
    <w:basedOn w:val="71"/>
    <w:next w:val="62"/>
    <w:qFormat/>
    <w:uiPriority w:val="0"/>
    <w:pPr>
      <w:widowControl/>
      <w:numPr>
        <w:ilvl w:val="4"/>
      </w:numPr>
      <w:outlineLvl w:val="3"/>
    </w:pPr>
  </w:style>
  <w:style w:type="character" w:customStyle="1" w:styleId="101">
    <w:name w:val="不明显参考1"/>
    <w:qFormat/>
    <w:uiPriority w:val="31"/>
    <w:rPr>
      <w:smallCaps/>
      <w:color w:val="C0504D"/>
      <w:u w:val="single"/>
    </w:rPr>
  </w:style>
  <w:style w:type="paragraph" w:customStyle="1" w:styleId="102">
    <w:name w:val="标准文件_示例后续"/>
    <w:basedOn w:val="1"/>
    <w:qFormat/>
    <w:uiPriority w:val="0"/>
    <w:pPr>
      <w:adjustRightInd/>
      <w:spacing w:line="240" w:lineRule="auto"/>
      <w:ind w:firstLine="200" w:firstLineChars="200"/>
    </w:pPr>
    <w:rPr>
      <w:sz w:val="18"/>
      <w:szCs w:val="24"/>
    </w:rPr>
  </w:style>
  <w:style w:type="paragraph" w:customStyle="1" w:styleId="103">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4">
    <w:name w:val="标准文件_四级条标题"/>
    <w:next w:val="62"/>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5">
    <w:name w:val="脚注文本 Char"/>
    <w:link w:val="24"/>
    <w:semiHidden/>
    <w:qFormat/>
    <w:uiPriority w:val="0"/>
    <w:rPr>
      <w:rFonts w:ascii="宋体" w:hAnsi="Times New Roman" w:eastAsia="宋体" w:cs="Times New Roman"/>
      <w:sz w:val="18"/>
      <w:szCs w:val="18"/>
    </w:rPr>
  </w:style>
  <w:style w:type="paragraph" w:customStyle="1" w:styleId="106">
    <w:name w:val="标准文件_条文脚注"/>
    <w:basedOn w:val="24"/>
    <w:qFormat/>
    <w:uiPriority w:val="0"/>
    <w:pPr>
      <w:adjustRightInd w:val="0"/>
      <w:spacing w:line="240" w:lineRule="auto"/>
      <w:ind w:left="0" w:leftChars="0" w:firstLine="200" w:firstLineChars="200"/>
      <w:jc w:val="both"/>
    </w:pPr>
    <w:rPr>
      <w:rFonts w:hAnsi="宋体"/>
    </w:rPr>
  </w:style>
  <w:style w:type="paragraph" w:customStyle="1" w:styleId="107">
    <w:name w:val="标准文件_图表脚注"/>
    <w:basedOn w:val="1"/>
    <w:next w:val="62"/>
    <w:qFormat/>
    <w:uiPriority w:val="0"/>
    <w:pPr>
      <w:numPr>
        <w:ilvl w:val="0"/>
        <w:numId w:val="12"/>
      </w:numPr>
      <w:spacing w:line="240" w:lineRule="auto"/>
      <w:jc w:val="left"/>
    </w:pPr>
    <w:rPr>
      <w:rFonts w:ascii="宋体" w:hAnsi="宋体"/>
      <w:sz w:val="18"/>
    </w:rPr>
  </w:style>
  <w:style w:type="character" w:customStyle="1" w:styleId="108">
    <w:name w:val="标准文件_图表脚注内容"/>
    <w:qFormat/>
    <w:uiPriority w:val="0"/>
    <w:rPr>
      <w:rFonts w:ascii="宋体" w:hAnsi="宋体" w:eastAsia="宋体" w:cs="Times New Roman"/>
      <w:spacing w:val="0"/>
      <w:sz w:val="18"/>
      <w:vertAlign w:val="superscript"/>
    </w:rPr>
  </w:style>
  <w:style w:type="paragraph" w:customStyle="1" w:styleId="109">
    <w:name w:val="标准文件_五级条标题"/>
    <w:next w:val="62"/>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10">
    <w:name w:val="标准文件_章标题"/>
    <w:next w:val="62"/>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11">
    <w:name w:val="标准文件_一级条标题"/>
    <w:basedOn w:val="110"/>
    <w:next w:val="62"/>
    <w:qFormat/>
    <w:uiPriority w:val="0"/>
    <w:pPr>
      <w:numPr>
        <w:ilvl w:val="2"/>
      </w:numPr>
      <w:spacing w:beforeLines="50" w:afterLines="50"/>
      <w:outlineLvl w:val="1"/>
    </w:pPr>
  </w:style>
  <w:style w:type="paragraph" w:customStyle="1" w:styleId="112">
    <w:name w:val="标准文件_一致程度"/>
    <w:basedOn w:val="1"/>
    <w:qFormat/>
    <w:uiPriority w:val="0"/>
    <w:pPr>
      <w:spacing w:line="440" w:lineRule="exact"/>
      <w:jc w:val="center"/>
    </w:pPr>
    <w:rPr>
      <w:sz w:val="28"/>
    </w:rPr>
  </w:style>
  <w:style w:type="paragraph" w:customStyle="1" w:styleId="113">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4">
    <w:name w:val="标准文件_英文图表脚注"/>
    <w:basedOn w:val="61"/>
    <w:qFormat/>
    <w:uiPriority w:val="0"/>
    <w:pPr>
      <w:widowControl/>
      <w:adjustRightInd/>
      <w:snapToGrid/>
      <w:spacing w:line="240" w:lineRule="auto"/>
      <w:ind w:left="79" w:hanging="79" w:hangingChars="80"/>
    </w:pPr>
    <w:rPr>
      <w:rFonts w:ascii="宋体" w:hAnsi="宋体"/>
    </w:rPr>
  </w:style>
  <w:style w:type="paragraph" w:customStyle="1" w:styleId="115">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6">
    <w:name w:val="标准文件_英文注："/>
    <w:basedOn w:val="1"/>
    <w:next w:val="62"/>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7">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8">
    <w:name w:val="标准文件_正文表标题"/>
    <w:next w:val="62"/>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9">
    <w:name w:val="标准文件_正文公式"/>
    <w:basedOn w:val="1"/>
    <w:next w:val="61"/>
    <w:qFormat/>
    <w:uiPriority w:val="0"/>
    <w:pPr>
      <w:tabs>
        <w:tab w:val="center" w:pos="4678"/>
        <w:tab w:val="right" w:leader="middleDot" w:pos="9356"/>
      </w:tabs>
      <w:spacing w:line="240" w:lineRule="auto"/>
    </w:pPr>
    <w:rPr>
      <w:rFonts w:ascii="宋体" w:hAnsi="宋体"/>
    </w:rPr>
  </w:style>
  <w:style w:type="paragraph" w:customStyle="1" w:styleId="120">
    <w:name w:val="标准文件_正文图标题"/>
    <w:next w:val="62"/>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1">
    <w:name w:val="标准文件_正文英文表标题"/>
    <w:next w:val="62"/>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2">
    <w:name w:val="标准文件_正文英文图标题"/>
    <w:next w:val="62"/>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3">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4">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5">
    <w:name w:val="发布部门"/>
    <w:next w:val="62"/>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6">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7">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8">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3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1">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2">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3">
    <w:name w:val="封面正文"/>
    <w:qFormat/>
    <w:uiPriority w:val="0"/>
    <w:pPr>
      <w:jc w:val="both"/>
    </w:pPr>
    <w:rPr>
      <w:rFonts w:ascii="Times New Roman" w:hAnsi="Times New Roman" w:eastAsia="宋体" w:cs="Times New Roman"/>
      <w:lang w:val="en-US" w:eastAsia="zh-CN" w:bidi="ar-SA"/>
    </w:rPr>
  </w:style>
  <w:style w:type="paragraph" w:customStyle="1" w:styleId="134">
    <w:name w:val="附录二级无标题条"/>
    <w:basedOn w:val="1"/>
    <w:next w:val="62"/>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5">
    <w:name w:val="附录三级无标题条"/>
    <w:basedOn w:val="134"/>
    <w:next w:val="62"/>
    <w:qFormat/>
    <w:uiPriority w:val="0"/>
    <w:pPr>
      <w:outlineLvl w:val="4"/>
    </w:pPr>
  </w:style>
  <w:style w:type="paragraph" w:customStyle="1" w:styleId="136">
    <w:name w:val="附录四级无标题条"/>
    <w:basedOn w:val="135"/>
    <w:next w:val="62"/>
    <w:qFormat/>
    <w:uiPriority w:val="0"/>
    <w:pPr>
      <w:outlineLvl w:val="5"/>
    </w:pPr>
  </w:style>
  <w:style w:type="paragraph" w:customStyle="1" w:styleId="137">
    <w:name w:val="附录图"/>
    <w:next w:val="62"/>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8">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9">
    <w:name w:val="附录五级无标题条"/>
    <w:basedOn w:val="136"/>
    <w:next w:val="62"/>
    <w:qFormat/>
    <w:uiPriority w:val="0"/>
    <w:pPr>
      <w:outlineLvl w:val="6"/>
    </w:pPr>
  </w:style>
  <w:style w:type="paragraph" w:customStyle="1" w:styleId="140">
    <w:name w:val="附录性质"/>
    <w:basedOn w:val="1"/>
    <w:qFormat/>
    <w:uiPriority w:val="0"/>
    <w:pPr>
      <w:widowControl/>
      <w:adjustRightInd/>
      <w:jc w:val="center"/>
    </w:pPr>
    <w:rPr>
      <w:rFonts w:ascii="黑体" w:eastAsia="黑体"/>
    </w:rPr>
  </w:style>
  <w:style w:type="paragraph" w:customStyle="1" w:styleId="141">
    <w:name w:val="附录一级无标题条"/>
    <w:basedOn w:val="93"/>
    <w:next w:val="62"/>
    <w:qFormat/>
    <w:uiPriority w:val="0"/>
    <w:pPr>
      <w:autoSpaceDN w:val="0"/>
      <w:outlineLvl w:val="2"/>
    </w:pPr>
    <w:rPr>
      <w:rFonts w:ascii="宋体" w:hAnsi="宋体" w:eastAsia="宋体"/>
    </w:rPr>
  </w:style>
  <w:style w:type="character" w:customStyle="1" w:styleId="142">
    <w:name w:val="个人答复风格"/>
    <w:qFormat/>
    <w:uiPriority w:val="0"/>
    <w:rPr>
      <w:rFonts w:ascii="Arial" w:hAnsi="Arial" w:eastAsia="宋体" w:cs="Arial"/>
      <w:color w:val="auto"/>
      <w:spacing w:val="0"/>
      <w:sz w:val="20"/>
    </w:rPr>
  </w:style>
  <w:style w:type="character" w:customStyle="1" w:styleId="143">
    <w:name w:val="个人撰写风格"/>
    <w:qFormat/>
    <w:uiPriority w:val="0"/>
    <w:rPr>
      <w:rFonts w:ascii="Arial" w:hAnsi="Arial" w:eastAsia="宋体" w:cs="Arial"/>
      <w:color w:val="auto"/>
      <w:spacing w:val="0"/>
      <w:sz w:val="20"/>
    </w:rPr>
  </w:style>
  <w:style w:type="paragraph" w:customStyle="1" w:styleId="144">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5">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6">
    <w:name w:val="列项·"/>
    <w:basedOn w:val="62"/>
    <w:qFormat/>
    <w:uiPriority w:val="0"/>
    <w:pPr>
      <w:tabs>
        <w:tab w:val="left" w:pos="840"/>
      </w:tabs>
    </w:pPr>
  </w:style>
  <w:style w:type="paragraph" w:customStyle="1" w:styleId="14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8">
    <w:name w:val="目录 21"/>
    <w:basedOn w:val="1"/>
    <w:next w:val="1"/>
    <w:semiHidden/>
    <w:qFormat/>
    <w:uiPriority w:val="0"/>
    <w:pPr>
      <w:adjustRightInd/>
      <w:spacing w:line="240" w:lineRule="auto"/>
      <w:jc w:val="left"/>
    </w:pPr>
    <w:rPr>
      <w:bCs/>
      <w:iCs/>
    </w:rPr>
  </w:style>
  <w:style w:type="paragraph" w:customStyle="1" w:styleId="149">
    <w:name w:val="目录 31"/>
    <w:basedOn w:val="1"/>
    <w:next w:val="1"/>
    <w:semiHidden/>
    <w:qFormat/>
    <w:uiPriority w:val="0"/>
    <w:pPr>
      <w:spacing w:line="240" w:lineRule="auto"/>
    </w:pPr>
    <w:rPr>
      <w:rFonts w:ascii="宋体" w:hAnsi="宋体"/>
      <w:iCs/>
    </w:rPr>
  </w:style>
  <w:style w:type="paragraph" w:customStyle="1" w:styleId="150">
    <w:name w:val="目录 41"/>
    <w:basedOn w:val="1"/>
    <w:next w:val="1"/>
    <w:semiHidden/>
    <w:qFormat/>
    <w:uiPriority w:val="0"/>
    <w:pPr>
      <w:adjustRightInd/>
      <w:spacing w:line="240" w:lineRule="auto"/>
      <w:jc w:val="left"/>
    </w:pPr>
  </w:style>
  <w:style w:type="paragraph" w:customStyle="1" w:styleId="151">
    <w:name w:val="目录 51"/>
    <w:basedOn w:val="1"/>
    <w:next w:val="1"/>
    <w:semiHidden/>
    <w:qFormat/>
    <w:uiPriority w:val="0"/>
    <w:pPr>
      <w:spacing w:line="240" w:lineRule="auto"/>
    </w:pPr>
    <w:rPr>
      <w:rFonts w:ascii="宋体" w:hAnsi="宋体"/>
    </w:rPr>
  </w:style>
  <w:style w:type="paragraph" w:customStyle="1" w:styleId="152">
    <w:name w:val="目录 61"/>
    <w:basedOn w:val="1"/>
    <w:next w:val="1"/>
    <w:semiHidden/>
    <w:qFormat/>
    <w:uiPriority w:val="0"/>
    <w:pPr>
      <w:adjustRightInd/>
      <w:spacing w:line="240" w:lineRule="auto"/>
      <w:jc w:val="left"/>
    </w:pPr>
  </w:style>
  <w:style w:type="paragraph" w:customStyle="1" w:styleId="153">
    <w:name w:val="目录 71"/>
    <w:basedOn w:val="152"/>
    <w:semiHidden/>
    <w:qFormat/>
    <w:uiPriority w:val="0"/>
    <w:pPr>
      <w:ind w:left="1260"/>
    </w:pPr>
  </w:style>
  <w:style w:type="paragraph" w:customStyle="1" w:styleId="154">
    <w:name w:val="目录 81"/>
    <w:basedOn w:val="153"/>
    <w:semiHidden/>
    <w:qFormat/>
    <w:uiPriority w:val="0"/>
    <w:pPr>
      <w:ind w:left="1470"/>
    </w:pPr>
  </w:style>
  <w:style w:type="paragraph" w:customStyle="1" w:styleId="155">
    <w:name w:val="目录 91"/>
    <w:basedOn w:val="154"/>
    <w:semiHidden/>
    <w:qFormat/>
    <w:uiPriority w:val="0"/>
    <w:pPr>
      <w:ind w:left="1680"/>
    </w:pPr>
  </w:style>
  <w:style w:type="paragraph" w:customStyle="1" w:styleId="15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7">
    <w:name w:val="其他发布部门"/>
    <w:basedOn w:val="125"/>
    <w:qFormat/>
    <w:uiPriority w:val="0"/>
    <w:pPr>
      <w:framePr w:wrap="around"/>
      <w:spacing w:line="0" w:lineRule="atLeast"/>
    </w:pPr>
    <w:rPr>
      <w:rFonts w:ascii="黑体" w:eastAsia="黑体"/>
      <w:b w:val="0"/>
    </w:rPr>
  </w:style>
  <w:style w:type="paragraph" w:customStyle="1" w:styleId="158">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9">
    <w:name w:val="三级无标题条"/>
    <w:basedOn w:val="1"/>
    <w:qFormat/>
    <w:uiPriority w:val="0"/>
    <w:pPr>
      <w:numPr>
        <w:ilvl w:val="4"/>
        <w:numId w:val="20"/>
      </w:numPr>
      <w:adjustRightInd/>
      <w:spacing w:line="240" w:lineRule="auto"/>
    </w:pPr>
    <w:rPr>
      <w:rFonts w:ascii="宋体" w:hAnsi="宋体"/>
      <w:szCs w:val="24"/>
    </w:rPr>
  </w:style>
  <w:style w:type="paragraph" w:customStyle="1" w:styleId="160">
    <w:name w:val="实施日期"/>
    <w:basedOn w:val="126"/>
    <w:qFormat/>
    <w:uiPriority w:val="0"/>
    <w:pPr>
      <w:framePr w:hSpace="0" w:wrap="around" w:xAlign="right"/>
      <w:jc w:val="right"/>
    </w:pPr>
  </w:style>
  <w:style w:type="paragraph" w:customStyle="1" w:styleId="161">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2">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3">
    <w:name w:val="无标题条"/>
    <w:next w:val="62"/>
    <w:qFormat/>
    <w:uiPriority w:val="0"/>
    <w:pPr>
      <w:jc w:val="both"/>
    </w:pPr>
    <w:rPr>
      <w:rFonts w:ascii="宋体" w:hAnsi="宋体" w:eastAsia="宋体" w:cs="Times New Roman"/>
      <w:sz w:val="21"/>
      <w:lang w:val="en-US" w:eastAsia="zh-CN" w:bidi="ar-SA"/>
    </w:rPr>
  </w:style>
  <w:style w:type="paragraph" w:customStyle="1" w:styleId="164">
    <w:name w:val="五级无标题条"/>
    <w:basedOn w:val="1"/>
    <w:qFormat/>
    <w:uiPriority w:val="0"/>
    <w:pPr>
      <w:numPr>
        <w:ilvl w:val="6"/>
        <w:numId w:val="20"/>
      </w:numPr>
      <w:adjustRightInd/>
    </w:pPr>
    <w:rPr>
      <w:szCs w:val="24"/>
    </w:rPr>
  </w:style>
  <w:style w:type="paragraph" w:customStyle="1" w:styleId="165">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6">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7">
    <w:name w:val="注×:后续"/>
    <w:basedOn w:val="166"/>
    <w:qFormat/>
    <w:uiPriority w:val="0"/>
    <w:pPr>
      <w:ind w:left="1406" w:leftChars="0" w:hanging="499" w:firstLineChars="0"/>
    </w:pPr>
  </w:style>
  <w:style w:type="paragraph" w:customStyle="1" w:styleId="168">
    <w:name w:val="标准文件_一级无标题"/>
    <w:basedOn w:val="111"/>
    <w:qFormat/>
    <w:uiPriority w:val="0"/>
    <w:pPr>
      <w:spacing w:beforeLines="0" w:afterLines="0"/>
      <w:outlineLvl w:val="9"/>
    </w:pPr>
    <w:rPr>
      <w:rFonts w:ascii="宋体" w:eastAsia="宋体"/>
    </w:rPr>
  </w:style>
  <w:style w:type="paragraph" w:customStyle="1" w:styleId="169">
    <w:name w:val="标准文件_五级无标题"/>
    <w:basedOn w:val="109"/>
    <w:qFormat/>
    <w:uiPriority w:val="0"/>
    <w:pPr>
      <w:spacing w:beforeLines="0" w:afterLines="0"/>
      <w:outlineLvl w:val="9"/>
    </w:pPr>
    <w:rPr>
      <w:rFonts w:ascii="宋体" w:eastAsia="宋体"/>
    </w:rPr>
  </w:style>
  <w:style w:type="paragraph" w:customStyle="1" w:styleId="170">
    <w:name w:val="标准文件_三级无标题"/>
    <w:basedOn w:val="100"/>
    <w:qFormat/>
    <w:uiPriority w:val="0"/>
    <w:pPr>
      <w:spacing w:beforeLines="0" w:afterLines="0"/>
      <w:outlineLvl w:val="9"/>
    </w:pPr>
    <w:rPr>
      <w:rFonts w:ascii="宋体" w:eastAsia="宋体"/>
    </w:rPr>
  </w:style>
  <w:style w:type="paragraph" w:customStyle="1" w:styleId="171">
    <w:name w:val="标准文件_二级无标题"/>
    <w:basedOn w:val="71"/>
    <w:qFormat/>
    <w:uiPriority w:val="0"/>
    <w:pPr>
      <w:spacing w:beforeLines="0" w:afterLines="0"/>
      <w:outlineLvl w:val="9"/>
    </w:pPr>
    <w:rPr>
      <w:rFonts w:ascii="宋体" w:eastAsia="宋体"/>
    </w:rPr>
  </w:style>
  <w:style w:type="paragraph" w:customStyle="1" w:styleId="172">
    <w:name w:val="标准_四级无标题"/>
    <w:basedOn w:val="104"/>
    <w:next w:val="62"/>
    <w:qFormat/>
    <w:uiPriority w:val="0"/>
    <w:rPr>
      <w:rFonts w:eastAsia="宋体"/>
    </w:rPr>
  </w:style>
  <w:style w:type="paragraph" w:customStyle="1" w:styleId="173">
    <w:name w:val="标准文件_四级无标题"/>
    <w:basedOn w:val="104"/>
    <w:qFormat/>
    <w:uiPriority w:val="0"/>
    <w:pPr>
      <w:spacing w:beforeLines="0" w:afterLines="0"/>
      <w:outlineLvl w:val="9"/>
    </w:pPr>
    <w:rPr>
      <w:rFonts w:ascii="宋体" w:hAnsi="黑体" w:eastAsia="宋体"/>
      <w:szCs w:val="52"/>
    </w:rPr>
  </w:style>
  <w:style w:type="paragraph" w:customStyle="1" w:styleId="174">
    <w:name w:val="标准文件_大写罗马数字编号列项"/>
    <w:basedOn w:val="62"/>
    <w:qFormat/>
    <w:uiPriority w:val="0"/>
    <w:pPr>
      <w:numPr>
        <w:ilvl w:val="0"/>
        <w:numId w:val="23"/>
      </w:numPr>
      <w:ind w:firstLine="0" w:firstLineChars="0"/>
    </w:pPr>
    <w:rPr>
      <w:rFonts w:ascii="Times New Roman" w:cs="Arial"/>
      <w:szCs w:val="28"/>
    </w:rPr>
  </w:style>
  <w:style w:type="paragraph" w:customStyle="1" w:styleId="175">
    <w:name w:val="标准文件_小写罗马数字编号列项"/>
    <w:basedOn w:val="62"/>
    <w:qFormat/>
    <w:uiPriority w:val="0"/>
    <w:pPr>
      <w:numPr>
        <w:ilvl w:val="0"/>
        <w:numId w:val="24"/>
      </w:numPr>
      <w:ind w:firstLine="0" w:firstLineChars="0"/>
    </w:pPr>
    <w:rPr>
      <w:rFonts w:cs="Arial"/>
      <w:szCs w:val="28"/>
    </w:rPr>
  </w:style>
  <w:style w:type="paragraph" w:customStyle="1" w:styleId="176">
    <w:name w:val="标准文件_附录标题"/>
    <w:basedOn w:val="82"/>
    <w:qFormat/>
    <w:uiPriority w:val="0"/>
    <w:pPr>
      <w:numPr>
        <w:numId w:val="0"/>
      </w:numPr>
      <w:spacing w:after="280"/>
      <w:outlineLvl w:val="9"/>
    </w:pPr>
  </w:style>
  <w:style w:type="paragraph" w:customStyle="1" w:styleId="177">
    <w:name w:val="标准文件_二级项"/>
    <w:qFormat/>
    <w:uiPriority w:val="0"/>
    <w:rPr>
      <w:rFonts w:ascii="宋体" w:hAnsi="Times New Roman" w:eastAsia="宋体" w:cs="Times New Roman"/>
      <w:sz w:val="21"/>
      <w:lang w:val="en-US" w:eastAsia="zh-CN" w:bidi="ar-SA"/>
    </w:rPr>
  </w:style>
  <w:style w:type="paragraph" w:customStyle="1" w:styleId="178">
    <w:name w:val="标准文件_三级项"/>
    <w:basedOn w:val="1"/>
    <w:qFormat/>
    <w:uiPriority w:val="0"/>
    <w:pPr>
      <w:numPr>
        <w:ilvl w:val="2"/>
        <w:numId w:val="21"/>
      </w:numPr>
      <w:spacing w:line="536870612" w:lineRule="auto"/>
    </w:pPr>
    <w:rPr>
      <w:rFonts w:ascii="Times New Roman" w:hAnsi="Times New Roman"/>
    </w:rPr>
  </w:style>
  <w:style w:type="paragraph" w:customStyle="1" w:styleId="179">
    <w:name w:val="图表脚注说明"/>
    <w:basedOn w:val="1"/>
    <w:next w:val="62"/>
    <w:qFormat/>
    <w:uiPriority w:val="0"/>
    <w:pPr>
      <w:numPr>
        <w:ilvl w:val="0"/>
        <w:numId w:val="25"/>
      </w:numPr>
      <w:adjustRightInd/>
      <w:spacing w:line="240" w:lineRule="auto"/>
      <w:ind w:left="783"/>
    </w:pPr>
    <w:rPr>
      <w:rFonts w:ascii="宋体" w:hAnsi="Times New Roman"/>
      <w:sz w:val="18"/>
      <w:szCs w:val="18"/>
    </w:rPr>
  </w:style>
  <w:style w:type="paragraph" w:customStyle="1" w:styleId="180">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81">
    <w:name w:val="标准文件_索引字母"/>
    <w:next w:val="62"/>
    <w:qFormat/>
    <w:uiPriority w:val="0"/>
    <w:pPr>
      <w:jc w:val="center"/>
    </w:pPr>
    <w:rPr>
      <w:rFonts w:ascii="宋体" w:hAnsi="宋体" w:eastAsia="Times New Roman" w:cs="Times New Roman"/>
      <w:b/>
      <w:kern w:val="2"/>
      <w:sz w:val="21"/>
      <w:lang w:val="en-US" w:eastAsia="zh-CN" w:bidi="ar-SA"/>
    </w:rPr>
  </w:style>
  <w:style w:type="paragraph" w:customStyle="1" w:styleId="182">
    <w:name w:val="标准文件_附录前"/>
    <w:next w:val="62"/>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3">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4">
    <w:name w:val="标准文件_表格"/>
    <w:basedOn w:val="62"/>
    <w:qFormat/>
    <w:uiPriority w:val="0"/>
    <w:pPr>
      <w:ind w:firstLine="0" w:firstLineChars="0"/>
      <w:jc w:val="center"/>
    </w:pPr>
    <w:rPr>
      <w:sz w:val="18"/>
    </w:rPr>
  </w:style>
  <w:style w:type="paragraph" w:customStyle="1" w:styleId="185">
    <w:name w:val="标准文件_注："/>
    <w:next w:val="62"/>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7">
    <w:name w:val="标准文件_示例："/>
    <w:next w:val="188"/>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8">
    <w:name w:val="标准文件_示例内容"/>
    <w:basedOn w:val="62"/>
    <w:qFormat/>
    <w:uiPriority w:val="0"/>
    <w:pPr>
      <w:ind w:firstLine="420"/>
    </w:pPr>
    <w:rPr>
      <w:sz w:val="18"/>
    </w:rPr>
  </w:style>
  <w:style w:type="paragraph" w:customStyle="1" w:styleId="189">
    <w:name w:val="标准文件_示例×："/>
    <w:basedOn w:val="1"/>
    <w:next w:val="188"/>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90">
    <w:name w:val="标准文件_段 Char"/>
    <w:link w:val="62"/>
    <w:qFormat/>
    <w:uiPriority w:val="0"/>
    <w:rPr>
      <w:rFonts w:ascii="宋体" w:hAnsi="Times New Roman"/>
      <w:sz w:val="21"/>
    </w:rPr>
  </w:style>
  <w:style w:type="paragraph" w:customStyle="1" w:styleId="191">
    <w:name w:val="标准文件_表格续"/>
    <w:basedOn w:val="62"/>
    <w:next w:val="62"/>
    <w:qFormat/>
    <w:uiPriority w:val="0"/>
    <w:pPr>
      <w:jc w:val="center"/>
    </w:pPr>
    <w:rPr>
      <w:rFonts w:ascii="黑体" w:hAnsi="黑体" w:eastAsia="黑体"/>
    </w:rPr>
  </w:style>
  <w:style w:type="character" w:styleId="192">
    <w:name w:val="Placeholder Text"/>
    <w:basedOn w:val="33"/>
    <w:semiHidden/>
    <w:qFormat/>
    <w:uiPriority w:val="99"/>
    <w:rPr>
      <w:color w:val="808080"/>
    </w:rPr>
  </w:style>
  <w:style w:type="paragraph" w:customStyle="1" w:styleId="193">
    <w:name w:val="标准文件_二级项2"/>
    <w:basedOn w:val="62"/>
    <w:qFormat/>
    <w:uiPriority w:val="0"/>
    <w:pPr>
      <w:numPr>
        <w:ilvl w:val="1"/>
        <w:numId w:val="21"/>
      </w:numPr>
      <w:ind w:left="1271" w:hanging="420" w:firstLineChars="0"/>
    </w:pPr>
  </w:style>
  <w:style w:type="paragraph" w:customStyle="1" w:styleId="194">
    <w:name w:val="标准文件_三级项2"/>
    <w:basedOn w:val="62"/>
    <w:qFormat/>
    <w:uiPriority w:val="0"/>
    <w:pPr>
      <w:numPr>
        <w:ilvl w:val="0"/>
        <w:numId w:val="30"/>
      </w:numPr>
      <w:spacing w:line="300" w:lineRule="exact"/>
      <w:ind w:left="1276" w:hanging="425" w:firstLineChars="0"/>
    </w:pPr>
    <w:rPr>
      <w:rFonts w:ascii="Times New Roman"/>
    </w:rPr>
  </w:style>
  <w:style w:type="paragraph" w:customStyle="1" w:styleId="195">
    <w:name w:val="标准文件_一级项2"/>
    <w:basedOn w:val="62"/>
    <w:qFormat/>
    <w:uiPriority w:val="0"/>
    <w:pPr>
      <w:numPr>
        <w:ilvl w:val="0"/>
        <w:numId w:val="31"/>
      </w:numPr>
      <w:spacing w:line="300" w:lineRule="exact"/>
      <w:ind w:left="1271" w:hanging="420" w:firstLineChars="0"/>
    </w:pPr>
    <w:rPr>
      <w:rFonts w:ascii="Times New Roman"/>
    </w:rPr>
  </w:style>
  <w:style w:type="paragraph" w:customStyle="1" w:styleId="196">
    <w:name w:val="标准文件_提示"/>
    <w:basedOn w:val="62"/>
    <w:next w:val="62"/>
    <w:qFormat/>
    <w:uiPriority w:val="0"/>
    <w:pPr>
      <w:ind w:firstLine="420"/>
    </w:pPr>
    <w:rPr>
      <w:rFonts w:ascii="黑体" w:eastAsia="黑体"/>
    </w:rPr>
  </w:style>
  <w:style w:type="character" w:customStyle="1" w:styleId="197">
    <w:name w:val="标准文件_来源"/>
    <w:basedOn w:val="33"/>
    <w:qFormat/>
    <w:uiPriority w:val="1"/>
    <w:rPr>
      <w:rFonts w:eastAsia="宋体"/>
      <w:sz w:val="21"/>
    </w:rPr>
  </w:style>
  <w:style w:type="paragraph" w:customStyle="1" w:styleId="198">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9">
    <w:name w:val="其他发布日期"/>
    <w:basedOn w:val="126"/>
    <w:qFormat/>
    <w:uiPriority w:val="0"/>
    <w:pPr>
      <w:framePr w:w="3997" w:h="471" w:hRule="exact" w:hSpace="0" w:vSpace="181" w:wrap="around" w:vAnchor="page" w:hAnchor="page" w:x="1419" w:y="14097"/>
    </w:pPr>
  </w:style>
  <w:style w:type="paragraph" w:customStyle="1" w:styleId="200">
    <w:name w:val="其他实施日期"/>
    <w:basedOn w:val="160"/>
    <w:qFormat/>
    <w:uiPriority w:val="0"/>
    <w:pPr>
      <w:framePr w:w="3997" w:h="471" w:hRule="exact" w:vSpace="181" w:wrap="around" w:vAnchor="page" w:hAnchor="page" w:x="7089" w:y="14097"/>
    </w:pPr>
  </w:style>
  <w:style w:type="paragraph" w:customStyle="1" w:styleId="201">
    <w:name w:val="标准文件_文件编号"/>
    <w:basedOn w:val="62"/>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2">
    <w:name w:val="标准文件_替换文件编号"/>
    <w:basedOn w:val="201"/>
    <w:qFormat/>
    <w:uiPriority w:val="0"/>
    <w:pPr>
      <w:spacing w:before="57"/>
    </w:pPr>
    <w:rPr>
      <w:sz w:val="21"/>
    </w:rPr>
  </w:style>
  <w:style w:type="paragraph" w:customStyle="1" w:styleId="203">
    <w:name w:val="标准文件_文件名称"/>
    <w:basedOn w:val="62"/>
    <w:next w:val="62"/>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4">
    <w:name w:val="标准文件_附录图标号"/>
    <w:basedOn w:val="62"/>
    <w:next w:val="62"/>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5">
    <w:name w:val="标准文件_附录表标号"/>
    <w:basedOn w:val="62"/>
    <w:next w:val="62"/>
    <w:qFormat/>
    <w:uiPriority w:val="0"/>
    <w:pPr>
      <w:numPr>
        <w:ilvl w:val="0"/>
        <w:numId w:val="5"/>
      </w:numPr>
      <w:spacing w:line="14" w:lineRule="exact"/>
      <w:ind w:firstLine="0" w:firstLineChars="0"/>
      <w:jc w:val="center"/>
    </w:pPr>
    <w:rPr>
      <w:rFonts w:eastAsia="黑体"/>
      <w:vanish/>
      <w:sz w:val="2"/>
    </w:rPr>
  </w:style>
  <w:style w:type="paragraph" w:customStyle="1" w:styleId="206">
    <w:name w:val="标准文件_引言一级条标题"/>
    <w:basedOn w:val="62"/>
    <w:next w:val="62"/>
    <w:qFormat/>
    <w:uiPriority w:val="0"/>
    <w:pPr>
      <w:numPr>
        <w:ilvl w:val="1"/>
        <w:numId w:val="8"/>
      </w:numPr>
      <w:spacing w:beforeLines="50" w:afterLines="50"/>
      <w:ind w:firstLineChars="0"/>
    </w:pPr>
    <w:rPr>
      <w:rFonts w:ascii="黑体" w:eastAsia="黑体"/>
    </w:rPr>
  </w:style>
  <w:style w:type="paragraph" w:customStyle="1" w:styleId="207">
    <w:name w:val="标准文件_引言二级条标题"/>
    <w:basedOn w:val="62"/>
    <w:next w:val="62"/>
    <w:qFormat/>
    <w:uiPriority w:val="0"/>
    <w:pPr>
      <w:numPr>
        <w:ilvl w:val="2"/>
        <w:numId w:val="8"/>
      </w:numPr>
      <w:spacing w:beforeLines="50" w:afterLines="50"/>
      <w:ind w:firstLineChars="0"/>
    </w:pPr>
    <w:rPr>
      <w:rFonts w:ascii="黑体" w:eastAsia="黑体"/>
    </w:rPr>
  </w:style>
  <w:style w:type="paragraph" w:customStyle="1" w:styleId="208">
    <w:name w:val="标准文件_引言三级条标题"/>
    <w:basedOn w:val="62"/>
    <w:next w:val="62"/>
    <w:qFormat/>
    <w:uiPriority w:val="0"/>
    <w:pPr>
      <w:numPr>
        <w:ilvl w:val="3"/>
        <w:numId w:val="8"/>
      </w:numPr>
      <w:spacing w:beforeLines="50" w:afterLines="50"/>
      <w:ind w:firstLineChars="0"/>
    </w:pPr>
    <w:rPr>
      <w:rFonts w:ascii="黑体" w:eastAsia="黑体"/>
    </w:rPr>
  </w:style>
  <w:style w:type="paragraph" w:customStyle="1" w:styleId="209">
    <w:name w:val="标准文件_引言四级条标题"/>
    <w:basedOn w:val="62"/>
    <w:next w:val="62"/>
    <w:qFormat/>
    <w:uiPriority w:val="0"/>
    <w:pPr>
      <w:numPr>
        <w:ilvl w:val="4"/>
        <w:numId w:val="8"/>
      </w:numPr>
      <w:spacing w:beforeLines="50" w:afterLines="50"/>
      <w:ind w:firstLineChars="0"/>
    </w:pPr>
    <w:rPr>
      <w:rFonts w:ascii="黑体" w:eastAsia="黑体"/>
    </w:rPr>
  </w:style>
  <w:style w:type="paragraph" w:customStyle="1" w:styleId="210">
    <w:name w:val="标准文件_引言五级条标题"/>
    <w:basedOn w:val="62"/>
    <w:next w:val="62"/>
    <w:qFormat/>
    <w:uiPriority w:val="0"/>
    <w:pPr>
      <w:numPr>
        <w:ilvl w:val="5"/>
        <w:numId w:val="8"/>
      </w:numPr>
      <w:spacing w:beforeLines="50" w:afterLines="50"/>
      <w:ind w:firstLineChars="0"/>
    </w:pPr>
    <w:rPr>
      <w:rFonts w:ascii="黑体" w:eastAsia="黑体"/>
    </w:rPr>
  </w:style>
  <w:style w:type="paragraph" w:customStyle="1" w:styleId="211">
    <w:name w:val="标准文件_注后"/>
    <w:basedOn w:val="62"/>
    <w:qFormat/>
    <w:uiPriority w:val="0"/>
    <w:pPr>
      <w:ind w:left="811" w:firstLine="0" w:firstLineChars="0"/>
    </w:pPr>
    <w:rPr>
      <w:sz w:val="18"/>
    </w:rPr>
  </w:style>
  <w:style w:type="paragraph" w:customStyle="1" w:styleId="212">
    <w:name w:val="标准文件_注X后"/>
    <w:basedOn w:val="62"/>
    <w:qFormat/>
    <w:uiPriority w:val="0"/>
    <w:pPr>
      <w:ind w:left="811" w:firstLine="0" w:firstLineChars="0"/>
    </w:pPr>
    <w:rPr>
      <w:sz w:val="18"/>
    </w:rPr>
  </w:style>
  <w:style w:type="paragraph" w:customStyle="1" w:styleId="213">
    <w:name w:val="标准文件_示例后"/>
    <w:basedOn w:val="62"/>
    <w:qFormat/>
    <w:uiPriority w:val="0"/>
    <w:pPr>
      <w:ind w:left="964" w:firstLine="0" w:firstLineChars="0"/>
    </w:pPr>
    <w:rPr>
      <w:sz w:val="18"/>
    </w:rPr>
  </w:style>
  <w:style w:type="paragraph" w:customStyle="1" w:styleId="214">
    <w:name w:val="标准文件_示例X后"/>
    <w:basedOn w:val="62"/>
    <w:link w:val="215"/>
    <w:qFormat/>
    <w:uiPriority w:val="0"/>
    <w:pPr>
      <w:ind w:left="1049" w:firstLine="0" w:firstLineChars="0"/>
    </w:pPr>
    <w:rPr>
      <w:sz w:val="18"/>
    </w:rPr>
  </w:style>
  <w:style w:type="character" w:customStyle="1" w:styleId="215">
    <w:name w:val="标准文件_示例X后 字符"/>
    <w:basedOn w:val="190"/>
    <w:link w:val="214"/>
    <w:qFormat/>
    <w:uiPriority w:val="0"/>
    <w:rPr>
      <w:rFonts w:ascii="宋体" w:hAnsi="Times New Roman"/>
      <w:sz w:val="18"/>
    </w:rPr>
  </w:style>
  <w:style w:type="paragraph" w:customStyle="1" w:styleId="216">
    <w:name w:val="标准文件_索引项"/>
    <w:basedOn w:val="62"/>
    <w:next w:val="62"/>
    <w:qFormat/>
    <w:uiPriority w:val="0"/>
    <w:pPr>
      <w:tabs>
        <w:tab w:val="right" w:leader="dot" w:pos="9356"/>
      </w:tabs>
      <w:ind w:left="210" w:hanging="210" w:firstLineChars="0"/>
      <w:jc w:val="left"/>
    </w:pPr>
  </w:style>
  <w:style w:type="paragraph" w:customStyle="1" w:styleId="217">
    <w:name w:val="标准文件_附录一级无标题"/>
    <w:basedOn w:val="84"/>
    <w:qFormat/>
    <w:uiPriority w:val="0"/>
    <w:pPr>
      <w:spacing w:beforeLines="0" w:afterLines="0" w:line="276" w:lineRule="auto"/>
      <w:outlineLvl w:val="9"/>
    </w:pPr>
    <w:rPr>
      <w:rFonts w:ascii="宋体" w:eastAsia="宋体"/>
    </w:rPr>
  </w:style>
  <w:style w:type="paragraph" w:customStyle="1" w:styleId="218">
    <w:name w:val="标准文件_附录二级无标题"/>
    <w:basedOn w:val="85"/>
    <w:qFormat/>
    <w:uiPriority w:val="0"/>
    <w:pPr>
      <w:spacing w:beforeLines="0" w:afterLines="0" w:line="276" w:lineRule="auto"/>
      <w:outlineLvl w:val="9"/>
    </w:pPr>
    <w:rPr>
      <w:rFonts w:ascii="宋体" w:eastAsia="宋体"/>
    </w:rPr>
  </w:style>
  <w:style w:type="paragraph" w:customStyle="1" w:styleId="219">
    <w:name w:val="标准文件_附录三级无标题"/>
    <w:basedOn w:val="87"/>
    <w:qFormat/>
    <w:uiPriority w:val="0"/>
    <w:pPr>
      <w:spacing w:beforeLines="0" w:afterLines="0" w:line="276" w:lineRule="auto"/>
      <w:outlineLvl w:val="9"/>
    </w:pPr>
    <w:rPr>
      <w:rFonts w:ascii="宋体" w:eastAsia="宋体"/>
    </w:rPr>
  </w:style>
  <w:style w:type="paragraph" w:customStyle="1" w:styleId="220">
    <w:name w:val="标准文件_附录四级无标题"/>
    <w:basedOn w:val="88"/>
    <w:qFormat/>
    <w:uiPriority w:val="0"/>
    <w:pPr>
      <w:spacing w:beforeLines="0" w:afterLines="0" w:line="276" w:lineRule="auto"/>
      <w:outlineLvl w:val="9"/>
    </w:pPr>
    <w:rPr>
      <w:rFonts w:ascii="宋体" w:eastAsia="宋体"/>
    </w:rPr>
  </w:style>
  <w:style w:type="paragraph" w:customStyle="1" w:styleId="221">
    <w:name w:val="标准文件_附录五级无标题"/>
    <w:basedOn w:val="90"/>
    <w:qFormat/>
    <w:uiPriority w:val="0"/>
    <w:pPr>
      <w:spacing w:beforeLines="0" w:afterLines="0" w:line="276" w:lineRule="auto"/>
      <w:outlineLvl w:val="9"/>
    </w:pPr>
    <w:rPr>
      <w:rFonts w:ascii="宋体" w:eastAsia="宋体"/>
    </w:rPr>
  </w:style>
  <w:style w:type="paragraph" w:customStyle="1" w:styleId="222">
    <w:name w:val="标准文件_引言一级无标题"/>
    <w:basedOn w:val="206"/>
    <w:next w:val="62"/>
    <w:qFormat/>
    <w:uiPriority w:val="0"/>
    <w:pPr>
      <w:spacing w:beforeLines="0" w:afterLines="0" w:line="276" w:lineRule="auto"/>
    </w:pPr>
    <w:rPr>
      <w:rFonts w:ascii="宋体" w:eastAsia="宋体"/>
    </w:rPr>
  </w:style>
  <w:style w:type="paragraph" w:customStyle="1" w:styleId="223">
    <w:name w:val="标准文件_引言二级无标题"/>
    <w:basedOn w:val="207"/>
    <w:next w:val="62"/>
    <w:qFormat/>
    <w:uiPriority w:val="0"/>
    <w:pPr>
      <w:spacing w:beforeLines="0" w:afterLines="0" w:line="276" w:lineRule="auto"/>
    </w:pPr>
    <w:rPr>
      <w:rFonts w:ascii="宋体" w:eastAsia="宋体"/>
    </w:rPr>
  </w:style>
  <w:style w:type="paragraph" w:customStyle="1" w:styleId="224">
    <w:name w:val="标准文件_引言三级无标题"/>
    <w:basedOn w:val="208"/>
    <w:next w:val="62"/>
    <w:qFormat/>
    <w:uiPriority w:val="0"/>
    <w:pPr>
      <w:spacing w:beforeLines="0" w:afterLines="0" w:line="276" w:lineRule="auto"/>
    </w:pPr>
    <w:rPr>
      <w:rFonts w:ascii="宋体" w:eastAsia="宋体"/>
    </w:rPr>
  </w:style>
  <w:style w:type="paragraph" w:customStyle="1" w:styleId="225">
    <w:name w:val="标准文件_引言四级无标题"/>
    <w:basedOn w:val="209"/>
    <w:next w:val="62"/>
    <w:qFormat/>
    <w:uiPriority w:val="0"/>
    <w:pPr>
      <w:spacing w:beforeLines="0" w:afterLines="0" w:line="276" w:lineRule="auto"/>
    </w:pPr>
    <w:rPr>
      <w:rFonts w:ascii="宋体" w:eastAsia="宋体"/>
    </w:rPr>
  </w:style>
  <w:style w:type="paragraph" w:customStyle="1" w:styleId="226">
    <w:name w:val="标准文件_引言五级无标题"/>
    <w:basedOn w:val="210"/>
    <w:next w:val="62"/>
    <w:qFormat/>
    <w:uiPriority w:val="0"/>
    <w:pPr>
      <w:spacing w:beforeLines="0" w:afterLines="0" w:line="276" w:lineRule="auto"/>
    </w:pPr>
    <w:rPr>
      <w:rFonts w:ascii="宋体" w:eastAsia="宋体"/>
    </w:rPr>
  </w:style>
  <w:style w:type="paragraph" w:customStyle="1" w:styleId="227">
    <w:name w:val="标准文件_索引标题"/>
    <w:basedOn w:val="69"/>
    <w:next w:val="62"/>
    <w:qFormat/>
    <w:uiPriority w:val="0"/>
    <w:rPr>
      <w:rFonts w:hAnsi="黑体"/>
    </w:rPr>
  </w:style>
  <w:style w:type="paragraph" w:customStyle="1" w:styleId="228">
    <w:name w:val="标准文件_脚注内容"/>
    <w:basedOn w:val="62"/>
    <w:qFormat/>
    <w:uiPriority w:val="0"/>
    <w:pPr>
      <w:ind w:left="400" w:leftChars="200" w:hanging="200" w:hangingChars="200"/>
    </w:pPr>
    <w:rPr>
      <w:sz w:val="15"/>
    </w:rPr>
  </w:style>
  <w:style w:type="paragraph" w:customStyle="1" w:styleId="229">
    <w:name w:val="标准文件_术语条一"/>
    <w:basedOn w:val="168"/>
    <w:next w:val="62"/>
    <w:qFormat/>
    <w:uiPriority w:val="0"/>
  </w:style>
  <w:style w:type="paragraph" w:customStyle="1" w:styleId="230">
    <w:name w:val="标准文件_术语条二"/>
    <w:basedOn w:val="171"/>
    <w:next w:val="62"/>
    <w:qFormat/>
    <w:uiPriority w:val="0"/>
  </w:style>
  <w:style w:type="paragraph" w:customStyle="1" w:styleId="231">
    <w:name w:val="标准文件_术语条三"/>
    <w:basedOn w:val="170"/>
    <w:next w:val="62"/>
    <w:qFormat/>
    <w:uiPriority w:val="0"/>
  </w:style>
  <w:style w:type="paragraph" w:customStyle="1" w:styleId="232">
    <w:name w:val="标准文件_术语条四"/>
    <w:basedOn w:val="173"/>
    <w:next w:val="62"/>
    <w:qFormat/>
    <w:uiPriority w:val="0"/>
  </w:style>
  <w:style w:type="paragraph" w:customStyle="1" w:styleId="233">
    <w:name w:val="标准文件_术语条五"/>
    <w:basedOn w:val="169"/>
    <w:next w:val="62"/>
    <w:qFormat/>
    <w:uiPriority w:val="0"/>
  </w:style>
  <w:style w:type="paragraph" w:customStyle="1" w:styleId="2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5">
    <w:name w:val="发布"/>
    <w:basedOn w:val="33"/>
    <w:qFormat/>
    <w:uiPriority w:val="0"/>
    <w:rPr>
      <w:rFonts w:ascii="黑体" w:eastAsia="黑体"/>
      <w:spacing w:val="85"/>
      <w:w w:val="100"/>
      <w:position w:val="3"/>
      <w:sz w:val="28"/>
      <w:szCs w:val="28"/>
    </w:rPr>
  </w:style>
  <w:style w:type="paragraph" w:customStyle="1" w:styleId="236">
    <w:name w:val="段"/>
    <w:link w:val="23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7">
    <w:name w:val="段 Char"/>
    <w:link w:val="236"/>
    <w:qFormat/>
    <w:uiPriority w:val="0"/>
    <w:rPr>
      <w:rFonts w:ascii="宋体" w:hAnsi="Times New Roman"/>
      <w:sz w:val="21"/>
    </w:rPr>
  </w:style>
  <w:style w:type="paragraph" w:customStyle="1" w:styleId="238">
    <w:name w:val="二级条标题"/>
    <w:basedOn w:val="1"/>
    <w:next w:val="236"/>
    <w:link w:val="239"/>
    <w:qFormat/>
    <w:uiPriority w:val="0"/>
    <w:pPr>
      <w:widowControl/>
      <w:numPr>
        <w:ilvl w:val="2"/>
        <w:numId w:val="32"/>
      </w:numPr>
      <w:adjustRightInd/>
      <w:spacing w:beforeLines="50" w:afterLines="50" w:line="240" w:lineRule="auto"/>
      <w:jc w:val="left"/>
      <w:outlineLvl w:val="3"/>
    </w:pPr>
    <w:rPr>
      <w:rFonts w:ascii="黑体" w:hAnsi="Times New Roman" w:eastAsia="黑体"/>
      <w:kern w:val="0"/>
      <w:lang w:val="zh-CN"/>
    </w:rPr>
  </w:style>
  <w:style w:type="character" w:customStyle="1" w:styleId="239">
    <w:name w:val="二级条标题 Char"/>
    <w:link w:val="238"/>
    <w:qFormat/>
    <w:uiPriority w:val="0"/>
    <w:rPr>
      <w:rFonts w:ascii="黑体" w:hAnsi="Times New Roman" w:eastAsia="黑体"/>
      <w:sz w:val="21"/>
      <w:szCs w:val="21"/>
      <w:lang w:val="zh-CN" w:eastAsia="zh-CN"/>
    </w:rPr>
  </w:style>
  <w:style w:type="character" w:customStyle="1" w:styleId="240">
    <w:name w:val="批注文字 Char"/>
    <w:basedOn w:val="33"/>
    <w:link w:val="13"/>
    <w:semiHidden/>
    <w:qFormat/>
    <w:uiPriority w:val="99"/>
    <w:rPr>
      <w:rFonts w:ascii="Calibri" w:hAnsi="Calibri"/>
      <w:kern w:val="2"/>
      <w:sz w:val="21"/>
      <w:szCs w:val="21"/>
    </w:rPr>
  </w:style>
  <w:style w:type="character" w:customStyle="1" w:styleId="241">
    <w:name w:val="批注主题 Char"/>
    <w:basedOn w:val="240"/>
    <w:link w:val="30"/>
    <w:semiHidden/>
    <w:qFormat/>
    <w:uiPriority w:val="99"/>
    <w:rPr>
      <w:rFonts w:ascii="Calibri" w:hAnsi="Calibri"/>
      <w:b/>
      <w:bCs/>
      <w:kern w:val="2"/>
      <w:sz w:val="21"/>
      <w:szCs w:val="21"/>
    </w:rPr>
  </w:style>
  <w:style w:type="paragraph" w:customStyle="1" w:styleId="242">
    <w:name w:val="一级条标题"/>
    <w:next w:val="236"/>
    <w:qFormat/>
    <w:uiPriority w:val="0"/>
    <w:pPr>
      <w:numPr>
        <w:ilvl w:val="1"/>
        <w:numId w:val="32"/>
      </w:numPr>
      <w:spacing w:before="156" w:beforeLines="50" w:after="156" w:afterLines="50"/>
      <w:outlineLvl w:val="2"/>
    </w:pPr>
    <w:rPr>
      <w:rFonts w:ascii="黑体" w:hAnsi="Times New Roman" w:eastAsia="黑体" w:cs="Times New Roman"/>
      <w:kern w:val="0"/>
      <w:sz w:val="21"/>
      <w:szCs w:val="21"/>
      <w:lang w:val="en-US" w:eastAsia="zh-CN" w:bidi="ar-SA"/>
      <w14:ligatures w14:val="standardContextual"/>
    </w:rPr>
  </w:style>
  <w:style w:type="paragraph" w:styleId="243">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4" Type="http://schemas.openxmlformats.org/officeDocument/2006/relationships/glossaryDocument" Target="glossary/document.xml"/><Relationship Id="rId43" Type="http://schemas.openxmlformats.org/officeDocument/2006/relationships/fontTable" Target="fontTable.xml"/><Relationship Id="rId42" Type="http://schemas.openxmlformats.org/officeDocument/2006/relationships/customXml" Target="../customXml/item2.xml"/><Relationship Id="rId41" Type="http://schemas.openxmlformats.org/officeDocument/2006/relationships/numbering" Target="numbering.xml"/><Relationship Id="rId40" Type="http://schemas.openxmlformats.org/officeDocument/2006/relationships/customXml" Target="../customXml/item1.xml"/><Relationship Id="rId4" Type="http://schemas.openxmlformats.org/officeDocument/2006/relationships/endnotes" Target="endnotes.xml"/><Relationship Id="rId39" Type="http://schemas.openxmlformats.org/officeDocument/2006/relationships/image" Target="media/image14.wmf"/><Relationship Id="rId38" Type="http://schemas.openxmlformats.org/officeDocument/2006/relationships/oleObject" Target="embeddings/oleObject14.bin"/><Relationship Id="rId37" Type="http://schemas.openxmlformats.org/officeDocument/2006/relationships/image" Target="media/image13.wmf"/><Relationship Id="rId36" Type="http://schemas.openxmlformats.org/officeDocument/2006/relationships/oleObject" Target="embeddings/oleObject13.bin"/><Relationship Id="rId35" Type="http://schemas.openxmlformats.org/officeDocument/2006/relationships/image" Target="media/image12.wmf"/><Relationship Id="rId34" Type="http://schemas.openxmlformats.org/officeDocument/2006/relationships/oleObject" Target="embeddings/oleObject12.bin"/><Relationship Id="rId33" Type="http://schemas.openxmlformats.org/officeDocument/2006/relationships/image" Target="media/image11.wmf"/><Relationship Id="rId32" Type="http://schemas.openxmlformats.org/officeDocument/2006/relationships/oleObject" Target="embeddings/oleObject11.bin"/><Relationship Id="rId31" Type="http://schemas.openxmlformats.org/officeDocument/2006/relationships/image" Target="media/image10.wmf"/><Relationship Id="rId30" Type="http://schemas.openxmlformats.org/officeDocument/2006/relationships/oleObject" Target="embeddings/oleObject10.bin"/><Relationship Id="rId3" Type="http://schemas.openxmlformats.org/officeDocument/2006/relationships/footnotes" Target="footnotes.xml"/><Relationship Id="rId29" Type="http://schemas.openxmlformats.org/officeDocument/2006/relationships/image" Target="media/image9.wmf"/><Relationship Id="rId28" Type="http://schemas.openxmlformats.org/officeDocument/2006/relationships/oleObject" Target="embeddings/oleObject9.bin"/><Relationship Id="rId27" Type="http://schemas.openxmlformats.org/officeDocument/2006/relationships/image" Target="media/image8.wmf"/><Relationship Id="rId26" Type="http://schemas.openxmlformats.org/officeDocument/2006/relationships/oleObject" Target="embeddings/oleObject8.bin"/><Relationship Id="rId25" Type="http://schemas.openxmlformats.org/officeDocument/2006/relationships/image" Target="media/image7.wmf"/><Relationship Id="rId24" Type="http://schemas.openxmlformats.org/officeDocument/2006/relationships/oleObject" Target="embeddings/oleObject7.bin"/><Relationship Id="rId23" Type="http://schemas.openxmlformats.org/officeDocument/2006/relationships/image" Target="media/image6.wmf"/><Relationship Id="rId22" Type="http://schemas.openxmlformats.org/officeDocument/2006/relationships/oleObject" Target="embeddings/oleObject6.bin"/><Relationship Id="rId21" Type="http://schemas.openxmlformats.org/officeDocument/2006/relationships/image" Target="media/image5.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4.wmf"/><Relationship Id="rId18" Type="http://schemas.openxmlformats.org/officeDocument/2006/relationships/oleObject" Target="embeddings/oleObject4.bin"/><Relationship Id="rId17" Type="http://schemas.openxmlformats.org/officeDocument/2006/relationships/image" Target="media/image3.wmf"/><Relationship Id="rId16" Type="http://schemas.openxmlformats.org/officeDocument/2006/relationships/oleObject" Target="embeddings/oleObject3.bin"/><Relationship Id="rId15" Type="http://schemas.openxmlformats.org/officeDocument/2006/relationships/image" Target="media/image2.wmf"/><Relationship Id="rId14" Type="http://schemas.openxmlformats.org/officeDocument/2006/relationships/oleObject" Target="embeddings/oleObject2.bin"/><Relationship Id="rId13" Type="http://schemas.openxmlformats.org/officeDocument/2006/relationships/image" Target="media/image1.wmf"/><Relationship Id="rId12" Type="http://schemas.openxmlformats.org/officeDocument/2006/relationships/oleObject" Target="embeddings/oleObject1.bin"/><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B087E892FD8409EBC3DB8D065C2DE53"/>
        <w:style w:val=""/>
        <w:category>
          <w:name w:val="常规"/>
          <w:gallery w:val="placeholder"/>
        </w:category>
        <w:types>
          <w:type w:val="bbPlcHdr"/>
        </w:types>
        <w:behaviors>
          <w:behavior w:val="content"/>
        </w:behaviors>
        <w:description w:val=""/>
        <w:guid w:val="{D30963AB-2023-42A6-9842-0047833E7D5C}"/>
      </w:docPartPr>
      <w:docPartBody>
        <w:p>
          <w:pPr>
            <w:pStyle w:val="5"/>
          </w:pPr>
          <w:r>
            <w:rPr>
              <w:rStyle w:val="4"/>
              <w:rFonts w:hint="eastAsia"/>
            </w:rPr>
            <w:t>单击或点击此处输入文字。</w:t>
          </w:r>
        </w:p>
      </w:docPartBody>
    </w:docPart>
    <w:docPart>
      <w:docPartPr>
        <w:name w:val="89A741807765442689A600E45822F11F"/>
        <w:style w:val=""/>
        <w:category>
          <w:name w:val="常规"/>
          <w:gallery w:val="placeholder"/>
        </w:category>
        <w:types>
          <w:type w:val="bbPlcHdr"/>
        </w:types>
        <w:behaviors>
          <w:behavior w:val="content"/>
        </w:behaviors>
        <w:description w:val=""/>
        <w:guid w:val="{2CCC1AC7-9798-4D85-A43A-2D18150CB01F}"/>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34FF0"/>
    <w:rsid w:val="000A79A5"/>
    <w:rsid w:val="001814DC"/>
    <w:rsid w:val="002B14A3"/>
    <w:rsid w:val="00434FF0"/>
    <w:rsid w:val="00464CD0"/>
    <w:rsid w:val="00473CF0"/>
    <w:rsid w:val="004A03C8"/>
    <w:rsid w:val="004A287C"/>
    <w:rsid w:val="004C243F"/>
    <w:rsid w:val="00504009"/>
    <w:rsid w:val="00596A82"/>
    <w:rsid w:val="00601234"/>
    <w:rsid w:val="006A7F23"/>
    <w:rsid w:val="00702694"/>
    <w:rsid w:val="007311D7"/>
    <w:rsid w:val="007501E0"/>
    <w:rsid w:val="00774E9D"/>
    <w:rsid w:val="007A5305"/>
    <w:rsid w:val="00832D63"/>
    <w:rsid w:val="00852D3B"/>
    <w:rsid w:val="008757A3"/>
    <w:rsid w:val="008B0491"/>
    <w:rsid w:val="009A3567"/>
    <w:rsid w:val="00A333D2"/>
    <w:rsid w:val="00A35BFD"/>
    <w:rsid w:val="00A40003"/>
    <w:rsid w:val="00AA3CC1"/>
    <w:rsid w:val="00B65C5A"/>
    <w:rsid w:val="00C43A42"/>
    <w:rsid w:val="00CB009D"/>
    <w:rsid w:val="00D343B0"/>
    <w:rsid w:val="00DD5255"/>
    <w:rsid w:val="00F90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B087E892FD8409EBC3DB8D065C2DE5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9A741807765442689A600E45822F11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2.xml><?xml version="1.0" encoding="utf-8"?>
<b:Sources xmlns="http://schemas.openxmlformats.org/officeDocument/2006/bibliography" xmlns:b="http://schemas.openxmlformats.org/officeDocument/2006/bibliography" SelectedStyle="\APASixthEditionOfficeOnline.xsl" Version="6"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E8D32A-2D39-482B-921D-D0313889E77F}">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17</Pages>
  <Words>1567</Words>
  <Characters>8933</Characters>
  <Lines>74</Lines>
  <Paragraphs>20</Paragraphs>
  <TotalTime>59</TotalTime>
  <ScaleCrop>false</ScaleCrop>
  <LinksUpToDate>false</LinksUpToDate>
  <CharactersWithSpaces>10480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2025-03-19T05:04:00Z</dcterms:created>
  <dc:creator>Administrator</dc:creator>
  <dc:description>&lt;config cover="true" show_menu="true" version="1.0.0" doctype="SDKXY"&gt;_x000d_
&lt;/config&gt;</dc:description>
  <cp:lastModifiedBy>guofx2</cp:lastModifiedBy>
  <cp:lastPrinted>2021-02-02T16:18:00Z</cp:lastPrinted>
  <dcterms:modified xsi:type="dcterms:W3CDTF">2025-04-30T06:27:55Z</dcterms:modified>
  <dc:title>行业标准</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2052-11.8.2.12309</vt:lpwstr>
  </property>
  <property fmtid="{D5CDD505-2E9C-101B-9397-08002B2CF9AE}" pid="15" name="ICV">
    <vt:lpwstr>2F35B518FD56425EAE7317720C3DB52C</vt:lpwstr>
  </property>
  <property fmtid="{D5CDD505-2E9C-101B-9397-08002B2CF9AE}" pid="16" name="KSOTemplateDocerSaveRecord">
    <vt:lpwstr>eyJoZGlkIjoiMGJlZDdkMzZmMmRmMzdmYWM2Y2UyNjgxNjgyZTg1NWEiLCJ1c2VySWQiOiIzMTk2NDI5NjQifQ==</vt:lpwstr>
  </property>
</Properties>
</file>