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51E08D">
      <w:pPr>
        <w:pStyle w:val="125"/>
        <w:framePr w:wrap="around"/>
        <w:rPr>
          <w:snapToGrid w:val="0"/>
        </w:rPr>
      </w:pPr>
      <w:r>
        <w:rPr>
          <w:rFonts w:ascii="Times New Roman"/>
          <w:snapToGrid w:val="0"/>
        </w:rPr>
        <w:t>ICS</w:t>
      </w:r>
      <w:r>
        <w:rPr>
          <w:rFonts w:hint="eastAsia" w:ascii="MS Mincho" w:hAnsi="MS Mincho" w:eastAsia="MS Mincho" w:cs="MS Mincho"/>
          <w:snapToGrid w:val="0"/>
        </w:rPr>
        <w:t> </w:t>
      </w:r>
      <w:bookmarkStart w:id="0" w:name="ICS"/>
      <w:r>
        <w:rPr>
          <w:snapToGrid w:val="0"/>
        </w:rPr>
        <w:fldChar w:fldCharType="begin">
          <w:ffData>
            <w:name w:val="ICS"/>
            <w:enabled/>
            <w:calcOnExit w:val="0"/>
            <w:helpText w:type="text" w:val="请输入正确的ICS号："/>
            <w:textInput>
              <w:default w:val="点击此处添加ICS号"/>
            </w:textInput>
          </w:ffData>
        </w:fldChar>
      </w:r>
      <w:r>
        <w:rPr>
          <w:snapToGrid w:val="0"/>
        </w:rPr>
        <w:instrText xml:space="preserve"> FORMTEXT </w:instrText>
      </w:r>
      <w:r>
        <w:rPr>
          <w:snapToGrid w:val="0"/>
        </w:rPr>
        <w:fldChar w:fldCharType="separate"/>
      </w:r>
      <w:r>
        <w:rPr>
          <w:rFonts w:hint="eastAsia"/>
          <w:snapToGrid w:val="0"/>
        </w:rPr>
        <w:t>71.060.50</w:t>
      </w:r>
      <w:r>
        <w:rPr>
          <w:snapToGrid w:val="0"/>
        </w:rPr>
        <w:fldChar w:fldCharType="end"/>
      </w:r>
      <w:bookmarkEnd w:id="0"/>
    </w:p>
    <w:p w14:paraId="288BAF09">
      <w:pPr>
        <w:pStyle w:val="125"/>
        <w:framePr w:wrap="around"/>
        <w:rPr>
          <w:snapToGrid w:val="0"/>
        </w:rPr>
      </w:pPr>
      <w:bookmarkStart w:id="1" w:name="WXFLH"/>
      <w:r>
        <w:rPr>
          <w:rFonts w:hint="eastAsia"/>
          <w:snapToGrid w:val="0"/>
        </w:rPr>
        <w:t xml:space="preserve">CCS </w:t>
      </w:r>
      <w:r>
        <w:rPr>
          <w:snapToGrid w:val="0"/>
        </w:rPr>
        <w:fldChar w:fldCharType="begin">
          <w:ffData>
            <w:name w:val="WXFLH"/>
            <w:enabled/>
            <w:calcOnExit w:val="0"/>
            <w:helpText w:type="text" w:val="请输入中国标准文献分类号："/>
            <w:textInput>
              <w:default w:val="点击此处添加中国标准文献分类号"/>
            </w:textInput>
          </w:ffData>
        </w:fldChar>
      </w:r>
      <w:r>
        <w:rPr>
          <w:snapToGrid w:val="0"/>
        </w:rPr>
        <w:instrText xml:space="preserve"> FORMTEXT </w:instrText>
      </w:r>
      <w:r>
        <w:rPr>
          <w:snapToGrid w:val="0"/>
        </w:rPr>
        <w:fldChar w:fldCharType="separate"/>
      </w:r>
      <w:r>
        <w:rPr>
          <w:rFonts w:hint="eastAsia"/>
          <w:snapToGrid w:val="0"/>
        </w:rPr>
        <w:t>G 12</w:t>
      </w:r>
      <w:r>
        <w:rPr>
          <w:snapToGrid w:val="0"/>
        </w:rPr>
        <w:fldChar w:fldCharType="end"/>
      </w:r>
      <w:bookmarkEnd w:id="1"/>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580FD0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14:paraId="13BCA388">
            <w:pPr>
              <w:pStyle w:val="125"/>
              <w:framePr w:wrap="around"/>
              <w:rPr>
                <w:snapToGrid w:val="0"/>
              </w:rPr>
            </w:pPr>
            <w:r>
              <w:rPr>
                <w:snapToGrid w:val="0"/>
              </w:rPr>
              <mc:AlternateContent>
                <mc:Choice Requires="wps">
                  <w:drawing>
                    <wp:anchor distT="0" distB="0" distL="114300" distR="114300" simplePos="0" relativeHeight="251663360"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8"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3120;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MiuL+zVAAAABwEAAA8AAAAA&#10;AAAAAQAgAAAAIgAAAGRycy9kb3ducmV2LnhtbFBLAQIUABQAAAAIAIdO4kB7g6j8pQEAAFkDAAAO&#10;AAAAAAAAAAEAIAAAACQBAABkcnMvZTJvRG9jLnhtbFBLBQYAAAAABgAGAFkBAAA7BQAAAAA=&#10;">
                      <v:fill on="t" focussize="0,0"/>
                      <v:stroke on="f"/>
                      <v:imagedata o:title=""/>
                      <o:lock v:ext="edit" aspectratio="f"/>
                    </v:rect>
                  </w:pict>
                </mc:Fallback>
              </mc:AlternateContent>
            </w:r>
            <w:r>
              <w:rPr>
                <w:snapToGrid w:val="0"/>
              </w:rPr>
              <w:fldChar w:fldCharType="begin">
                <w:ffData>
                  <w:name w:val="BAH"/>
                  <w:enabled/>
                  <w:calcOnExit w:val="0"/>
                  <w:textInput/>
                </w:ffData>
              </w:fldChar>
            </w:r>
            <w:bookmarkStart w:id="2" w:name="BAH"/>
            <w:r>
              <w:rPr>
                <w:snapToGrid w:val="0"/>
              </w:rPr>
              <w:instrText xml:space="preserve"> FORMTEXT </w:instrText>
            </w:r>
            <w:r>
              <w:rPr>
                <w:snapToGrid w:val="0"/>
              </w:rPr>
              <w:fldChar w:fldCharType="separate"/>
            </w:r>
            <w:r>
              <w:rPr>
                <w:snapToGrid w:val="0"/>
              </w:rPr>
              <w:t>     </w:t>
            </w:r>
            <w:r>
              <w:rPr>
                <w:snapToGrid w:val="0"/>
              </w:rPr>
              <w:fldChar w:fldCharType="end"/>
            </w:r>
            <w:bookmarkEnd w:id="2"/>
          </w:p>
        </w:tc>
      </w:tr>
    </w:tbl>
    <w:p w14:paraId="7AD4D731">
      <w:pPr>
        <w:pStyle w:val="68"/>
        <w:framePr w:wrap="around"/>
        <w:rPr>
          <w:snapToGrid w:val="0"/>
          <w:w w:val="100"/>
        </w:rPr>
      </w:pPr>
      <w:bookmarkStart w:id="3" w:name="c1"/>
      <w:r>
        <w:rPr>
          <w:snapToGrid w:val="0"/>
          <w:w w:val="100"/>
        </w:rPr>
        <w:fldChar w:fldCharType="begin">
          <w:ffData>
            <w:name w:val="c1"/>
            <w:enabled/>
            <w:calcOnExit w:val="0"/>
            <w:entryMacro w:val="ShowHelp15"/>
            <w:textInput>
              <w:maxLength w:val="2"/>
            </w:textInput>
          </w:ffData>
        </w:fldChar>
      </w:r>
      <w:r>
        <w:rPr>
          <w:snapToGrid w:val="0"/>
          <w:w w:val="100"/>
        </w:rPr>
        <w:instrText xml:space="preserve"> FORMTEXT </w:instrText>
      </w:r>
      <w:r>
        <w:rPr>
          <w:snapToGrid w:val="0"/>
          <w:w w:val="100"/>
        </w:rPr>
        <w:fldChar w:fldCharType="separate"/>
      </w:r>
      <w:r>
        <w:rPr>
          <w:rFonts w:hint="eastAsia"/>
          <w:snapToGrid w:val="0"/>
          <w:w w:val="100"/>
        </w:rPr>
        <w:t>HG</w:t>
      </w:r>
      <w:r>
        <w:rPr>
          <w:snapToGrid w:val="0"/>
          <w:w w:val="100"/>
        </w:rPr>
        <w:fldChar w:fldCharType="end"/>
      </w:r>
      <w:bookmarkEnd w:id="3"/>
    </w:p>
    <w:p w14:paraId="7C48174E">
      <w:pPr>
        <w:pStyle w:val="112"/>
        <w:framePr w:wrap="around"/>
        <w:rPr>
          <w:rFonts w:hint="eastAsia"/>
          <w:snapToGrid w:val="0"/>
          <w:spacing w:val="0"/>
        </w:rPr>
      </w:pPr>
      <w:r>
        <w:rPr>
          <w:rFonts w:hint="eastAsia"/>
          <w:snapToGrid w:val="0"/>
          <w:spacing w:val="0"/>
        </w:rPr>
        <w:t>中华人民共和国</w:t>
      </w:r>
      <w:bookmarkStart w:id="4" w:name="c2"/>
      <w:r>
        <w:rPr>
          <w:snapToGrid w:val="0"/>
          <w:spacing w:val="0"/>
        </w:rPr>
        <w:fldChar w:fldCharType="begin">
          <w:ffData>
            <w:name w:val="c2"/>
            <w:enabled/>
            <w:calcOnExit w:val="0"/>
            <w:entryMacro w:val="showhelp11"/>
            <w:textInput/>
          </w:ffData>
        </w:fldChar>
      </w:r>
      <w:r>
        <w:rPr>
          <w:snapToGrid w:val="0"/>
          <w:spacing w:val="0"/>
        </w:rPr>
        <w:instrText xml:space="preserve"> FORMTEXT </w:instrText>
      </w:r>
      <w:r>
        <w:rPr>
          <w:snapToGrid w:val="0"/>
          <w:spacing w:val="0"/>
        </w:rPr>
        <w:fldChar w:fldCharType="separate"/>
      </w:r>
      <w:r>
        <w:rPr>
          <w:rFonts w:hint="eastAsia"/>
          <w:snapToGrid w:val="0"/>
          <w:spacing w:val="0"/>
        </w:rPr>
        <w:t>化工</w:t>
      </w:r>
      <w:r>
        <w:rPr>
          <w:snapToGrid w:val="0"/>
          <w:spacing w:val="0"/>
        </w:rPr>
        <w:fldChar w:fldCharType="end"/>
      </w:r>
      <w:bookmarkEnd w:id="4"/>
      <w:r>
        <w:rPr>
          <w:rFonts w:hint="eastAsia"/>
          <w:snapToGrid w:val="0"/>
          <w:spacing w:val="0"/>
        </w:rPr>
        <w:t>行业标准</w:t>
      </w:r>
    </w:p>
    <w:p w14:paraId="5C6363CD">
      <w:pPr>
        <w:pStyle w:val="49"/>
        <w:framePr w:wrap="around"/>
        <w:rPr>
          <w:rFonts w:hint="eastAsia" w:hAnsi="黑体"/>
          <w:snapToGrid w:val="0"/>
        </w:rPr>
      </w:pPr>
      <w:bookmarkStart w:id="5" w:name="StdNo0"/>
      <w:r>
        <w:rPr>
          <w:rFonts w:ascii="Times New Roman"/>
          <w:snapToGrid w:val="0"/>
        </w:rPr>
        <w:fldChar w:fldCharType="begin">
          <w:ffData>
            <w:name w:val="StdNo0"/>
            <w:enabled/>
            <w:calcOnExit w:val="0"/>
            <w:textInput>
              <w:default w:val="XX"/>
              <w:maxLength w:val="2"/>
            </w:textInput>
          </w:ffData>
        </w:fldChar>
      </w:r>
      <w:r>
        <w:rPr>
          <w:rFonts w:ascii="Times New Roman"/>
          <w:snapToGrid w:val="0"/>
        </w:rPr>
        <w:instrText xml:space="preserve"> FORMTEXT </w:instrText>
      </w:r>
      <w:r>
        <w:rPr>
          <w:rFonts w:ascii="Times New Roman"/>
          <w:snapToGrid w:val="0"/>
        </w:rPr>
        <w:fldChar w:fldCharType="separate"/>
      </w:r>
      <w:r>
        <w:rPr>
          <w:rFonts w:hint="eastAsia" w:ascii="Times New Roman"/>
          <w:snapToGrid w:val="0"/>
        </w:rPr>
        <w:t>HG</w:t>
      </w:r>
      <w:r>
        <w:rPr>
          <w:rFonts w:ascii="Times New Roman"/>
          <w:snapToGrid w:val="0"/>
        </w:rPr>
        <w:fldChar w:fldCharType="end"/>
      </w:r>
      <w:bookmarkEnd w:id="5"/>
      <w:r>
        <w:rPr>
          <w:rFonts w:ascii="Times New Roman"/>
          <w:snapToGrid w:val="0"/>
        </w:rPr>
        <w:t xml:space="preserve">/T </w:t>
      </w:r>
      <w:r>
        <w:rPr>
          <w:rFonts w:hint="eastAsia" w:hAnsi="黑体"/>
          <w:snapToGrid w:val="0"/>
        </w:rPr>
        <w:t>4510</w:t>
      </w:r>
      <w:r>
        <w:rPr>
          <w:rFonts w:hAnsi="黑体"/>
          <w:snapToGrid w:val="0"/>
        </w:rPr>
        <w:t>—</w:t>
      </w:r>
      <w:bookmarkStart w:id="6" w:name="StdNo2"/>
      <w:r>
        <w:rPr>
          <w:rFonts w:hAnsi="黑体"/>
          <w:snapToGrid w:val="0"/>
        </w:rPr>
        <w:fldChar w:fldCharType="begin">
          <w:ffData>
            <w:name w:val="StdNo2"/>
            <w:enabled/>
            <w:calcOnExit w:val="0"/>
            <w:textInput>
              <w:default w:val="XXXX"/>
              <w:maxLength w:val="4"/>
            </w:textInput>
          </w:ffData>
        </w:fldChar>
      </w:r>
      <w:r>
        <w:rPr>
          <w:rFonts w:hAnsi="黑体"/>
          <w:snapToGrid w:val="0"/>
        </w:rPr>
        <w:instrText xml:space="preserve"> FORMTEXT </w:instrText>
      </w:r>
      <w:r>
        <w:rPr>
          <w:rFonts w:hAnsi="黑体"/>
          <w:snapToGrid w:val="0"/>
        </w:rPr>
        <w:fldChar w:fldCharType="separate"/>
      </w:r>
      <w:r>
        <w:rPr>
          <w:rFonts w:hAnsi="黑体"/>
          <w:snapToGrid w:val="0"/>
        </w:rPr>
        <w:t>XXXX</w:t>
      </w:r>
      <w:r>
        <w:rPr>
          <w:rFonts w:hAnsi="黑体"/>
          <w:snapToGrid w:val="0"/>
        </w:rPr>
        <w:fldChar w:fldCharType="end"/>
      </w:r>
      <w:bookmarkEnd w:id="6"/>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55F8E2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0D2DC834">
            <w:pPr>
              <w:pStyle w:val="78"/>
              <w:framePr w:wrap="around"/>
              <w:rPr>
                <w:snapToGrid w:val="0"/>
              </w:rPr>
            </w:pPr>
            <w:bookmarkStart w:id="7" w:name="DT"/>
            <w:r>
              <w:rPr>
                <w:snapToGrid w:val="0"/>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1"/>
                          </wps:wsp>
                        </a:graphicData>
                      </a:graphic>
                    </wp:anchor>
                  </w:drawing>
                </mc:Choice>
                <mc:Fallback>
                  <w:pict>
                    <v:rect id="DT"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AeYPLL1gAAAAgBAAAPAAAAAAAAAAEA&#10;IAAAACIAAABkcnMvZG93bnJldi54bWxQSwECFAAUAAAACACHTuJAEijFP58BAABZAwAADgAAAAAA&#10;AAABACAAAAAlAQAAZHJzL2Uyb0RvYy54bWxQSwUGAAAAAAYABgBZAQAANgUAAAAA&#10;">
                      <v:fill on="t" focussize="0,0"/>
                      <v:stroke on="f"/>
                      <v:imagedata o:title=""/>
                      <o:lock v:ext="edit" aspectratio="f"/>
                    </v:rect>
                  </w:pict>
                </mc:Fallback>
              </mc:AlternateContent>
            </w:r>
            <w:bookmarkEnd w:id="7"/>
            <w:r>
              <w:rPr>
                <w:rFonts w:hint="eastAsia"/>
                <w:snapToGrid w:val="0"/>
              </w:rPr>
              <w:fldChar w:fldCharType="begin">
                <w:ffData>
                  <w:name w:val="Text1"/>
                  <w:enabled/>
                  <w:calcOnExit w:val="0"/>
                  <w:textInput>
                    <w:default w:val="代替HG/T 4510-2013"/>
                  </w:textInput>
                </w:ffData>
              </w:fldChar>
            </w:r>
            <w:r>
              <w:rPr>
                <w:rFonts w:hint="eastAsia"/>
                <w:snapToGrid w:val="0"/>
              </w:rPr>
              <w:instrText xml:space="preserve">FORMTEXT</w:instrText>
            </w:r>
            <w:r>
              <w:rPr>
                <w:rFonts w:hint="eastAsia"/>
                <w:snapToGrid w:val="0"/>
              </w:rPr>
              <w:fldChar w:fldCharType="separate"/>
            </w:r>
            <w:r>
              <w:rPr>
                <w:rFonts w:hint="eastAsia"/>
                <w:snapToGrid w:val="0"/>
              </w:rPr>
              <w:t>代替HG/T 4510-2013</w:t>
            </w:r>
            <w:r>
              <w:rPr>
                <w:rFonts w:hint="eastAsia"/>
                <w:snapToGrid w:val="0"/>
              </w:rPr>
              <w:fldChar w:fldCharType="end"/>
            </w:r>
          </w:p>
        </w:tc>
      </w:tr>
    </w:tbl>
    <w:p w14:paraId="1781C4F0">
      <w:pPr>
        <w:pStyle w:val="49"/>
        <w:framePr w:wrap="around"/>
        <w:rPr>
          <w:rFonts w:hint="eastAsia" w:hAnsi="黑体"/>
          <w:snapToGrid w:val="0"/>
        </w:rPr>
      </w:pPr>
    </w:p>
    <w:p w14:paraId="78A0B166">
      <w:pPr>
        <w:pStyle w:val="49"/>
        <w:framePr w:wrap="around"/>
        <w:rPr>
          <w:rFonts w:hint="eastAsia" w:hAnsi="黑体"/>
          <w:snapToGrid w:val="0"/>
        </w:rPr>
      </w:pPr>
    </w:p>
    <w:p w14:paraId="197645A6">
      <w:pPr>
        <w:pStyle w:val="80"/>
        <w:framePr w:wrap="around"/>
        <w:rPr>
          <w:snapToGrid w:val="0"/>
        </w:rPr>
      </w:pPr>
      <w:bookmarkStart w:id="8" w:name="StdName"/>
      <w:r>
        <w:rPr>
          <w:rFonts w:hint="eastAsia"/>
          <w:snapToGrid w:val="0"/>
        </w:rPr>
        <w:fldChar w:fldCharType="begin">
          <w:ffData>
            <w:name w:val="StdName"/>
            <w:enabled/>
            <w:calcOnExit w:val="0"/>
            <w:textInput>
              <w:default w:val="工业磷酸氢二钾"/>
            </w:textInput>
          </w:ffData>
        </w:fldChar>
      </w:r>
      <w:r>
        <w:rPr>
          <w:rFonts w:hint="eastAsia"/>
          <w:snapToGrid w:val="0"/>
        </w:rPr>
        <w:instrText xml:space="preserve">FORMTEXT</w:instrText>
      </w:r>
      <w:r>
        <w:rPr>
          <w:rFonts w:hint="eastAsia"/>
          <w:snapToGrid w:val="0"/>
        </w:rPr>
        <w:fldChar w:fldCharType="separate"/>
      </w:r>
      <w:r>
        <w:rPr>
          <w:rFonts w:hint="eastAsia"/>
          <w:snapToGrid w:val="0"/>
        </w:rPr>
        <w:t>工业磷酸氢二钾</w:t>
      </w:r>
      <w:r>
        <w:rPr>
          <w:rFonts w:hint="eastAsia"/>
          <w:snapToGrid w:val="0"/>
        </w:rPr>
        <w:fldChar w:fldCharType="end"/>
      </w:r>
      <w:bookmarkEnd w:id="8"/>
    </w:p>
    <w:p w14:paraId="33F3C751">
      <w:pPr>
        <w:pStyle w:val="81"/>
        <w:framePr w:wrap="around"/>
        <w:rPr>
          <w:snapToGrid w:val="0"/>
        </w:rPr>
      </w:pPr>
      <w:bookmarkStart w:id="9" w:name="StdEnglishName"/>
      <w:r>
        <w:rPr>
          <w:snapToGrid w:val="0"/>
        </w:rPr>
        <w:fldChar w:fldCharType="begin">
          <w:ffData>
            <w:name w:val="StdEnglishName"/>
            <w:enabled/>
            <w:calcOnExit w:val="0"/>
            <w:textInput>
              <w:default w:val="Dipotassium hydrogen phosphate for industrial use"/>
            </w:textInput>
          </w:ffData>
        </w:fldChar>
      </w:r>
      <w:r>
        <w:rPr>
          <w:snapToGrid w:val="0"/>
        </w:rPr>
        <w:instrText xml:space="preserve">FORMTEXT</w:instrText>
      </w:r>
      <w:r>
        <w:rPr>
          <w:snapToGrid w:val="0"/>
        </w:rPr>
        <w:fldChar w:fldCharType="separate"/>
      </w:r>
      <w:r>
        <w:rPr>
          <w:snapToGrid w:val="0"/>
        </w:rPr>
        <w:t>Dipotassium hydrogen phosphate for industrial use</w:t>
      </w:r>
      <w:r>
        <w:rPr>
          <w:snapToGrid w:val="0"/>
        </w:rPr>
        <w:fldChar w:fldCharType="end"/>
      </w:r>
      <w:bookmarkEnd w:id="9"/>
    </w:p>
    <w:p w14:paraId="3C80D2B6">
      <w:pPr>
        <w:pStyle w:val="82"/>
        <w:framePr w:wrap="around"/>
        <w:rPr>
          <w:snapToGrid w:val="0"/>
        </w:rPr>
      </w:pP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182E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shd w:val="clear" w:color="auto" w:fill="auto"/>
          </w:tcPr>
          <w:p w14:paraId="66BA5801">
            <w:pPr>
              <w:pStyle w:val="83"/>
              <w:framePr w:wrap="around"/>
              <w:rPr>
                <w:snapToGrid w:val="0"/>
                <w:sz w:val="28"/>
              </w:rPr>
            </w:pPr>
            <w:r>
              <w:rPr>
                <w:rFonts w:hint="default"/>
                <w:snapToGrid w:val="0"/>
                <w:sz w:val="28"/>
                <w:lang w:val="en-US"/>
              </w:rPr>
              <mc:AlternateContent>
                <mc:Choice Requires="wps">
                  <w:drawing>
                    <wp:anchor distT="0" distB="0" distL="114300" distR="114300" simplePos="0" relativeHeight="251662336" behindDoc="1" locked="1" layoutInCell="1" allowOverlap="1">
                      <wp:simplePos x="0" y="0"/>
                      <wp:positionH relativeFrom="column">
                        <wp:posOffset>2200910</wp:posOffset>
                      </wp:positionH>
                      <wp:positionV relativeFrom="paragraph">
                        <wp:posOffset>573405</wp:posOffset>
                      </wp:positionV>
                      <wp:extent cx="1905000" cy="254000"/>
                      <wp:effectExtent l="0" t="0" r="0" b="5080"/>
                      <wp:wrapNone/>
                      <wp:docPr id="7"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wps:spPr>
                            <wps:bodyPr upright="1"/>
                          </wps:wsp>
                        </a:graphicData>
                      </a:graphic>
                    </wp:anchor>
                  </w:drawing>
                </mc:Choice>
                <mc:Fallback>
                  <w:pict>
                    <v:rect id="RQ" o:spid="_x0000_s1026" o:spt="1" style="position:absolute;left:0pt;margin-left:173.3pt;margin-top:45.15pt;height:20pt;width:150pt;z-index:-251654144;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AWJrpLVAAAACgEAAA8AAAAAAAAAAQAg&#10;AAAAIgAAAGRycy9kb3ducmV2LnhtbFBLAQIUABQAAAAIAIdO4kA19tWcnwEAAFkDAAAOAAAAAAAA&#10;AAEAIAAAACQBAABkcnMvZTJvRG9jLnhtbFBLBQYAAAAABgAGAFkBAAA1BQAAAAA=&#10;">
                      <v:fill on="t" focussize="0,0"/>
                      <v:stroke on="f"/>
                      <v:imagedata o:title=""/>
                      <o:lock v:ext="edit" aspectratio="f"/>
                      <w10:anchorlock/>
                    </v:rect>
                  </w:pict>
                </mc:Fallback>
              </mc:AlternateContent>
            </w:r>
            <w:r>
              <w:rPr>
                <w:rFonts w:hint="default"/>
                <w:snapToGrid w:val="0"/>
                <w:sz w:val="28"/>
                <w:lang w:val="en-US"/>
              </w:rPr>
              <mc:AlternateContent>
                <mc:Choice Requires="wps">
                  <w:drawing>
                    <wp:anchor distT="0" distB="0" distL="114300" distR="114300" simplePos="0" relativeHeight="251661312" behindDoc="1" locked="0" layoutInCell="1" allowOverlap="1">
                      <wp:simplePos x="0" y="0"/>
                      <wp:positionH relativeFrom="column">
                        <wp:posOffset>2454910</wp:posOffset>
                      </wp:positionH>
                      <wp:positionV relativeFrom="paragraph">
                        <wp:posOffset>255905</wp:posOffset>
                      </wp:positionV>
                      <wp:extent cx="1270000" cy="304800"/>
                      <wp:effectExtent l="0" t="0" r="10160" b="0"/>
                      <wp:wrapNone/>
                      <wp:docPr id="6"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w:pict>
                    <v:rect id="LB" o:spid="_x0000_s1026" o:spt="1" style="position:absolute;left:0pt;margin-left:193.3pt;margin-top:20.15pt;height:24pt;width:100pt;z-index:-251655168;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A+GL5dYAAAAJAQAADwAAAAAAAAAB&#10;ACAAAAAiAAAAZHJzL2Rvd25yZXYueG1sUEsBAhQAFAAAAAgAh07iQMkfsNegAQAAWQMAAA4AAAAA&#10;AAAAAQAgAAAAJQEAAGRycy9lMm9Eb2MueG1sUEsFBgAAAAAGAAYAWQEAADcFAAAAAA==&#10;">
                      <v:fill on="t" focussize="0,0"/>
                      <v:stroke on="f"/>
                      <v:imagedata o:title=""/>
                      <o:lock v:ext="edit" aspectratio="f"/>
                    </v:rect>
                  </w:pict>
                </mc:Fallback>
              </mc:AlternateContent>
            </w:r>
            <w:r>
              <w:rPr>
                <w:rFonts w:hint="eastAsia"/>
                <w:snapToGrid w:val="0"/>
                <w:sz w:val="28"/>
                <w:lang w:val="en-US" w:eastAsia="zh-CN"/>
              </w:rPr>
              <w:t>征求意见</w:t>
            </w:r>
            <w:r>
              <w:rPr>
                <w:rFonts w:hint="eastAsia"/>
                <w:snapToGrid w:val="0"/>
                <w:sz w:val="28"/>
              </w:rPr>
              <w:t>稿</w:t>
            </w:r>
          </w:p>
        </w:tc>
      </w:tr>
      <w:tr w14:paraId="4EF0F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7EDC310F">
            <w:pPr>
              <w:pStyle w:val="84"/>
              <w:framePr w:wrap="around"/>
              <w:rPr>
                <w:snapToGrid w:val="0"/>
              </w:rPr>
            </w:pPr>
            <w:bookmarkStart w:id="10" w:name="WCRQ"/>
            <w:r>
              <w:rPr>
                <w:snapToGrid w:val="0"/>
              </w:rPr>
              <w:fldChar w:fldCharType="begin">
                <w:ffData>
                  <w:name w:val="WCRQ"/>
                  <w:enabled/>
                  <w:calcOnExit w:val="0"/>
                  <w:textInput/>
                </w:ffData>
              </w:fldChar>
            </w:r>
            <w:r>
              <w:rPr>
                <w:snapToGrid w:val="0"/>
              </w:rPr>
              <w:instrText xml:space="preserve"> FORMTEXT </w:instrText>
            </w:r>
            <w:r>
              <w:rPr>
                <w:snapToGrid w:val="0"/>
              </w:rPr>
              <w:fldChar w:fldCharType="separate"/>
            </w:r>
            <w:r>
              <w:rPr>
                <w:snapToGrid w:val="0"/>
              </w:rPr>
              <w:t>     </w:t>
            </w:r>
            <w:r>
              <w:rPr>
                <w:snapToGrid w:val="0"/>
              </w:rPr>
              <w:fldChar w:fldCharType="end"/>
            </w:r>
            <w:bookmarkEnd w:id="10"/>
          </w:p>
        </w:tc>
      </w:tr>
    </w:tbl>
    <w:p w14:paraId="704DB017">
      <w:pPr>
        <w:pStyle w:val="132"/>
        <w:framePr w:wrap="around" w:hAnchor="page" w:x="1501" w:y="14421"/>
        <w:rPr>
          <w:snapToGrid w:val="0"/>
        </w:rPr>
      </w:pPr>
      <w:bookmarkStart w:id="11" w:name="FY"/>
      <w:r>
        <w:rPr>
          <w:rFonts w:ascii="黑体"/>
          <w:snapToGrid w:val="0"/>
        </w:rPr>
        <w:fldChar w:fldCharType="begin">
          <w:ffData>
            <w:name w:val="FY"/>
            <w:enabled/>
            <w:calcOnExit w:val="0"/>
            <w:entryMacro w:val="ShowHelp8"/>
            <w:textInput>
              <w:default w:val="XXXX"/>
              <w:maxLength w:val="4"/>
            </w:textInput>
          </w:ffData>
        </w:fldChar>
      </w:r>
      <w:r>
        <w:rPr>
          <w:rFonts w:ascii="黑体"/>
          <w:snapToGrid w:val="0"/>
        </w:rPr>
        <w:instrText xml:space="preserve"> FORMTEXT </w:instrText>
      </w:r>
      <w:r>
        <w:rPr>
          <w:rFonts w:ascii="黑体"/>
          <w:snapToGrid w:val="0"/>
        </w:rPr>
        <w:fldChar w:fldCharType="separate"/>
      </w:r>
      <w:r>
        <w:rPr>
          <w:rFonts w:ascii="黑体"/>
          <w:snapToGrid w:val="0"/>
        </w:rPr>
        <w:t>XXXX</w:t>
      </w:r>
      <w:r>
        <w:rPr>
          <w:rFonts w:ascii="黑体"/>
          <w:snapToGrid w:val="0"/>
        </w:rPr>
        <w:fldChar w:fldCharType="end"/>
      </w:r>
      <w:bookmarkEnd w:id="11"/>
      <w:r>
        <w:rPr>
          <w:rFonts w:ascii="黑体"/>
          <w:snapToGrid w:val="0"/>
        </w:rPr>
        <w:t>-</w:t>
      </w:r>
      <w:r>
        <w:rPr>
          <w:rFonts w:ascii="黑体"/>
          <w:snapToGrid w:val="0"/>
        </w:rPr>
        <w:fldChar w:fldCharType="begin">
          <w:ffData>
            <w:name w:val="FM"/>
            <w:enabled/>
            <w:calcOnExit w:val="0"/>
            <w:entryMacro w:val="ShowHelp8"/>
            <w:textInput>
              <w:default w:val="XX"/>
              <w:maxLength w:val="2"/>
            </w:textInput>
          </w:ffData>
        </w:fldChar>
      </w:r>
      <w:r>
        <w:rPr>
          <w:rFonts w:ascii="黑体"/>
          <w:snapToGrid w:val="0"/>
        </w:rPr>
        <w:instrText xml:space="preserve"> FORMTEXT </w:instrText>
      </w:r>
      <w:r>
        <w:rPr>
          <w:rFonts w:ascii="黑体"/>
          <w:snapToGrid w:val="0"/>
        </w:rPr>
        <w:fldChar w:fldCharType="separate"/>
      </w:r>
      <w:r>
        <w:rPr>
          <w:rFonts w:ascii="黑体"/>
          <w:snapToGrid w:val="0"/>
        </w:rPr>
        <w:t>XX</w:t>
      </w:r>
      <w:r>
        <w:rPr>
          <w:rFonts w:ascii="黑体"/>
          <w:snapToGrid w:val="0"/>
        </w:rPr>
        <w:fldChar w:fldCharType="end"/>
      </w:r>
      <w:r>
        <w:rPr>
          <w:rFonts w:ascii="黑体"/>
          <w:snapToGrid w:val="0"/>
        </w:rPr>
        <w:t>-</w:t>
      </w:r>
      <w:bookmarkStart w:id="12" w:name="FD"/>
      <w:r>
        <w:rPr>
          <w:rFonts w:ascii="黑体"/>
          <w:snapToGrid w:val="0"/>
        </w:rPr>
        <w:fldChar w:fldCharType="begin">
          <w:ffData>
            <w:name w:val="FD"/>
            <w:enabled/>
            <w:calcOnExit w:val="0"/>
            <w:entryMacro w:val="ShowHelp8"/>
            <w:textInput>
              <w:default w:val="XX"/>
              <w:maxLength w:val="2"/>
            </w:textInput>
          </w:ffData>
        </w:fldChar>
      </w:r>
      <w:r>
        <w:rPr>
          <w:rFonts w:ascii="黑体"/>
          <w:snapToGrid w:val="0"/>
        </w:rPr>
        <w:instrText xml:space="preserve"> FORMTEXT </w:instrText>
      </w:r>
      <w:r>
        <w:rPr>
          <w:rFonts w:ascii="黑体"/>
          <w:snapToGrid w:val="0"/>
        </w:rPr>
        <w:fldChar w:fldCharType="separate"/>
      </w:r>
      <w:r>
        <w:rPr>
          <w:rFonts w:ascii="黑体"/>
          <w:snapToGrid w:val="0"/>
        </w:rPr>
        <w:t>XX</w:t>
      </w:r>
      <w:r>
        <w:rPr>
          <w:rFonts w:ascii="黑体"/>
          <w:snapToGrid w:val="0"/>
        </w:rPr>
        <w:fldChar w:fldCharType="end"/>
      </w:r>
      <w:bookmarkEnd w:id="12"/>
      <w:r>
        <w:rPr>
          <w:rFonts w:hint="eastAsia"/>
          <w:snapToGrid w:val="0"/>
        </w:rPr>
        <w:t>发布</w:t>
      </w:r>
    </w:p>
    <w:p w14:paraId="402784DA">
      <w:pPr>
        <w:pStyle w:val="133"/>
        <w:framePr w:wrap="around" w:hAnchor="page" w:x="6781" w:y="14441"/>
        <w:rPr>
          <w:snapToGrid w:val="0"/>
        </w:rPr>
      </w:pPr>
      <w:bookmarkStart w:id="13" w:name="SY"/>
      <w:r>
        <w:rPr>
          <w:rFonts w:ascii="黑体"/>
          <w:snapToGrid w:val="0"/>
        </w:rPr>
        <w:fldChar w:fldCharType="begin">
          <w:ffData>
            <w:name w:val="SY"/>
            <w:enabled/>
            <w:calcOnExit w:val="0"/>
            <w:entryMacro w:val="ShowHelp9"/>
            <w:textInput>
              <w:default w:val="XXXX"/>
              <w:maxLength w:val="4"/>
            </w:textInput>
          </w:ffData>
        </w:fldChar>
      </w:r>
      <w:r>
        <w:rPr>
          <w:rFonts w:ascii="黑体"/>
          <w:snapToGrid w:val="0"/>
        </w:rPr>
        <w:instrText xml:space="preserve"> FORMTEXT </w:instrText>
      </w:r>
      <w:r>
        <w:rPr>
          <w:rFonts w:ascii="黑体"/>
          <w:snapToGrid w:val="0"/>
        </w:rPr>
        <w:fldChar w:fldCharType="separate"/>
      </w:r>
      <w:r>
        <w:rPr>
          <w:rFonts w:ascii="黑体"/>
          <w:snapToGrid w:val="0"/>
        </w:rPr>
        <w:t>XXXX</w:t>
      </w:r>
      <w:r>
        <w:rPr>
          <w:rFonts w:ascii="黑体"/>
          <w:snapToGrid w:val="0"/>
        </w:rPr>
        <w:fldChar w:fldCharType="end"/>
      </w:r>
      <w:bookmarkEnd w:id="13"/>
      <w:r>
        <w:rPr>
          <w:rFonts w:ascii="黑体"/>
          <w:snapToGrid w:val="0"/>
        </w:rPr>
        <w:t>-</w:t>
      </w:r>
      <w:bookmarkStart w:id="14" w:name="SM"/>
      <w:r>
        <w:rPr>
          <w:rFonts w:ascii="黑体"/>
          <w:snapToGrid w:val="0"/>
        </w:rPr>
        <w:fldChar w:fldCharType="begin">
          <w:ffData>
            <w:name w:val="SM"/>
            <w:enabled/>
            <w:calcOnExit w:val="0"/>
            <w:entryMacro w:val="ShowHelp9"/>
            <w:textInput>
              <w:default w:val="XX"/>
              <w:maxLength w:val="2"/>
            </w:textInput>
          </w:ffData>
        </w:fldChar>
      </w:r>
      <w:r>
        <w:rPr>
          <w:rFonts w:ascii="黑体"/>
          <w:snapToGrid w:val="0"/>
        </w:rPr>
        <w:instrText xml:space="preserve"> FORMTEXT </w:instrText>
      </w:r>
      <w:r>
        <w:rPr>
          <w:rFonts w:ascii="黑体"/>
          <w:snapToGrid w:val="0"/>
        </w:rPr>
        <w:fldChar w:fldCharType="separate"/>
      </w:r>
      <w:r>
        <w:rPr>
          <w:rFonts w:ascii="黑体"/>
          <w:snapToGrid w:val="0"/>
        </w:rPr>
        <w:t>XX</w:t>
      </w:r>
      <w:r>
        <w:rPr>
          <w:rFonts w:ascii="黑体"/>
          <w:snapToGrid w:val="0"/>
        </w:rPr>
        <w:fldChar w:fldCharType="end"/>
      </w:r>
      <w:bookmarkEnd w:id="14"/>
      <w:r>
        <w:rPr>
          <w:rFonts w:ascii="黑体"/>
          <w:snapToGrid w:val="0"/>
        </w:rPr>
        <w:t>-</w:t>
      </w:r>
      <w:bookmarkStart w:id="15" w:name="SD"/>
      <w:r>
        <w:rPr>
          <w:rFonts w:ascii="黑体"/>
          <w:snapToGrid w:val="0"/>
        </w:rPr>
        <w:fldChar w:fldCharType="begin">
          <w:ffData>
            <w:name w:val="SD"/>
            <w:enabled/>
            <w:calcOnExit w:val="0"/>
            <w:entryMacro w:val="ShowHelp9"/>
            <w:textInput>
              <w:default w:val="XX"/>
              <w:maxLength w:val="2"/>
            </w:textInput>
          </w:ffData>
        </w:fldChar>
      </w:r>
      <w:r>
        <w:rPr>
          <w:rFonts w:ascii="黑体"/>
          <w:snapToGrid w:val="0"/>
        </w:rPr>
        <w:instrText xml:space="preserve"> FORMTEXT </w:instrText>
      </w:r>
      <w:r>
        <w:rPr>
          <w:rFonts w:ascii="黑体"/>
          <w:snapToGrid w:val="0"/>
        </w:rPr>
        <w:fldChar w:fldCharType="separate"/>
      </w:r>
      <w:r>
        <w:rPr>
          <w:rFonts w:ascii="黑体"/>
          <w:snapToGrid w:val="0"/>
        </w:rPr>
        <w:t>XX</w:t>
      </w:r>
      <w:r>
        <w:rPr>
          <w:rFonts w:ascii="黑体"/>
          <w:snapToGrid w:val="0"/>
        </w:rPr>
        <w:fldChar w:fldCharType="end"/>
      </w:r>
      <w:bookmarkEnd w:id="15"/>
      <w:r>
        <w:rPr>
          <w:rFonts w:hint="eastAsia"/>
          <w:snapToGrid w:val="0"/>
        </w:rPr>
        <w:t>实施</w:t>
      </w:r>
    </w:p>
    <w:p w14:paraId="4C5FC6E9">
      <w:pPr>
        <w:pStyle w:val="113"/>
        <w:framePr w:wrap="around"/>
        <w:rPr>
          <w:snapToGrid w:val="0"/>
          <w:spacing w:val="0"/>
          <w:w w:val="100"/>
        </w:rPr>
      </w:pPr>
      <w:bookmarkStart w:id="16" w:name="fm"/>
      <w:r>
        <w:fldChar w:fldCharType="begin">
          <w:ffData>
            <w:name w:val="fm"/>
            <w:enabled/>
            <w:calcOnExit w:val="0"/>
            <w:textInput/>
          </w:ffData>
        </w:fldChar>
      </w:r>
      <w:r>
        <w:instrText xml:space="preserve"> FORMTEXT </w:instrText>
      </w:r>
      <w:r>
        <w:fldChar w:fldCharType="separate"/>
      </w:r>
      <w:r>
        <w:t>   </w:t>
      </w:r>
      <w:r>
        <w:rPr>
          <w:rFonts w:hint="eastAsia"/>
        </w:rPr>
        <w:t>中华人民共和国工业和信息化部</w:t>
      </w:r>
      <w:r>
        <w:fldChar w:fldCharType="end"/>
      </w:r>
      <w:bookmarkEnd w:id="16"/>
      <w:r>
        <w:rPr>
          <w:rFonts w:hint="eastAsia" w:ascii="MS Mincho" w:hAnsi="MS Mincho" w:eastAsia="MS Mincho" w:cs="MS Mincho"/>
          <w:snapToGrid w:val="0"/>
          <w:spacing w:val="0"/>
          <w:w w:val="100"/>
        </w:rPr>
        <w:t>   </w:t>
      </w:r>
      <w:r>
        <w:rPr>
          <w:rStyle w:val="75"/>
          <w:rFonts w:hint="eastAsia"/>
          <w:snapToGrid w:val="0"/>
          <w:spacing w:val="0"/>
          <w:position w:val="0"/>
        </w:rPr>
        <w:t>发布</w:t>
      </w:r>
    </w:p>
    <w:p w14:paraId="02DC45C0">
      <w:pPr>
        <w:pStyle w:val="24"/>
        <w:rPr>
          <w:snapToGrid w:val="0"/>
        </w:rPr>
        <w:sectPr>
          <w:pgSz w:w="11906" w:h="16838"/>
          <w:pgMar w:top="567" w:right="850" w:bottom="1134" w:left="1418" w:header="0" w:footer="0" w:gutter="0"/>
          <w:pgNumType w:start="1"/>
          <w:cols w:space="425" w:num="1"/>
          <w:docGrid w:type="lines" w:linePitch="312" w:charSpace="0"/>
        </w:sectPr>
      </w:pPr>
      <w:r>
        <w:rPr>
          <w:snapToGrid w:val="0"/>
        </w:rPr>
        <mc:AlternateContent>
          <mc:Choice Requires="wps">
            <w:drawing>
              <wp:anchor distT="0" distB="0" distL="114300" distR="114300" simplePos="0" relativeHeight="251664384" behindDoc="0" locked="0" layoutInCell="1" allowOverlap="1">
                <wp:simplePos x="0" y="0"/>
                <wp:positionH relativeFrom="column">
                  <wp:posOffset>71120</wp:posOffset>
                </wp:positionH>
                <wp:positionV relativeFrom="paragraph">
                  <wp:posOffset>9190355</wp:posOffset>
                </wp:positionV>
                <wp:extent cx="5899150" cy="0"/>
                <wp:effectExtent l="0" t="0" r="0" b="0"/>
                <wp:wrapNone/>
                <wp:docPr id="9" name="自选图形 20"/>
                <wp:cNvGraphicFramePr/>
                <a:graphic xmlns:a="http://schemas.openxmlformats.org/drawingml/2006/main">
                  <a:graphicData uri="http://schemas.microsoft.com/office/word/2010/wordprocessingShape">
                    <wps:wsp>
                      <wps:cNvCnPr/>
                      <wps:spPr>
                        <a:xfrm>
                          <a:off x="0" y="0"/>
                          <a:ext cx="589915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0" o:spid="_x0000_s1026" o:spt="32" type="#_x0000_t32" style="position:absolute;left:0pt;margin-left:5.6pt;margin-top:723.65pt;height:0pt;width:464.5pt;z-index:251664384;mso-width-relative:page;mso-height-relative:page;" filled="f" stroked="t" coordsize="21600,21600" o:gfxdata="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nl9gp9cAAAAMAQAADwAAAAAAAAABACAAAAAiAAAAZHJzL2Rvd25yZXYueG1sUEsBAhQA&#10;FAAAAAgAh07iQCTRLQjzAQAA5AMAAA4AAAAAAAAAAQAgAAAAJgEAAGRycy9lMm9Eb2MueG1sUEsF&#10;BgAAAAAGAAYAWQEAAIsFAAAAAA==&#10;">
                <v:fill on="f" focussize="0,0"/>
                <v:stroke color="#000000" joinstyle="round"/>
                <v:imagedata o:title=""/>
                <o:lock v:ext="edit" aspectratio="f"/>
              </v:shape>
            </w:pict>
          </mc:Fallback>
        </mc:AlternateContent>
      </w:r>
      <w:r>
        <w:rPr>
          <w:snapToGrid w:val="0"/>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4"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JB4l/XAAAACQEAAA8A&#10;AAAAAAAAAQAgAAAAIgAAAGRycy9kb3ducmV2LnhtbFBLAQIUABQAAAAIAIdO4kCZC48V3wEAANAD&#10;AAAOAAAAAAAAAAEAIAAAACYBAABkcnMvZTJvRG9jLnhtbFBLBQYAAAAABgAGAFkBAAB3BQAAAAA=&#10;">
                <v:fill on="f" focussize="0,0"/>
                <v:stroke color="#000000" joinstyle="round"/>
                <v:imagedata o:title=""/>
                <o:lock v:ext="edit" aspectratio="f"/>
              </v:line>
            </w:pict>
          </mc:Fallback>
        </mc:AlternateContent>
      </w:r>
    </w:p>
    <w:p w14:paraId="2698BD57">
      <w:pPr>
        <w:pStyle w:val="114"/>
        <w:rPr>
          <w:snapToGrid w:val="0"/>
        </w:rPr>
      </w:pPr>
      <w:r>
        <w:rPr>
          <w:rFonts w:hint="eastAsia"/>
          <w:snapToGrid w:val="0"/>
        </w:rPr>
        <w:t>前</w:t>
      </w:r>
      <w:bookmarkStart w:id="17" w:name="BKQY"/>
      <w:r>
        <w:rPr>
          <w:rFonts w:hint="eastAsia" w:ascii="MS Mincho" w:hAnsi="MS Mincho" w:eastAsia="MS Mincho" w:cs="MS Mincho"/>
          <w:snapToGrid w:val="0"/>
        </w:rPr>
        <w:t>  </w:t>
      </w:r>
      <w:r>
        <w:rPr>
          <w:rFonts w:hint="eastAsia"/>
          <w:snapToGrid w:val="0"/>
        </w:rPr>
        <w:t>言</w:t>
      </w:r>
      <w:bookmarkEnd w:id="17"/>
    </w:p>
    <w:p w14:paraId="47CBFF38">
      <w:pPr>
        <w:spacing w:line="360" w:lineRule="exact"/>
        <w:ind w:firstLine="420" w:firstLineChars="200"/>
        <w:rPr>
          <w:snapToGrid w:val="0"/>
          <w:kern w:val="0"/>
        </w:rPr>
      </w:pPr>
      <w:r>
        <w:rPr>
          <w:rFonts w:hint="eastAsia"/>
          <w:snapToGrid w:val="0"/>
          <w:kern w:val="0"/>
        </w:rPr>
        <w:t>本文件按照GB/T 1.1—2020《标准化工作导则第1部分：标准化文件的结构和起草规则》给出的规定起草。</w:t>
      </w:r>
    </w:p>
    <w:p w14:paraId="384FFD9D">
      <w:pPr>
        <w:spacing w:line="360" w:lineRule="exact"/>
        <w:ind w:firstLine="420" w:firstLineChars="200"/>
        <w:rPr>
          <w:snapToGrid w:val="0"/>
          <w:kern w:val="0"/>
        </w:rPr>
      </w:pPr>
      <w:r>
        <w:rPr>
          <w:snapToGrid w:val="0"/>
          <w:kern w:val="0"/>
        </w:rPr>
        <w:t>本文件代替</w:t>
      </w:r>
      <w:r>
        <w:rPr>
          <w:rFonts w:hint="eastAsia"/>
          <w:snapToGrid w:val="0"/>
          <w:kern w:val="0"/>
        </w:rPr>
        <w:t>HG/T 4510—2013《工业磷酸氢二钾》，与HG/T 4510—2013相比，除结构调整和编辑性改动外，主要技术变化如下：</w:t>
      </w:r>
    </w:p>
    <w:p w14:paraId="480AEA32">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增加了“分类”（见第5章）；</w:t>
      </w:r>
    </w:p>
    <w:p w14:paraId="14ADD22C">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更改了外观的描述（见6.1，2013年版的4.1）；</w:t>
      </w:r>
    </w:p>
    <w:p w14:paraId="58B7B1A3">
      <w:pPr>
        <w:pStyle w:val="13"/>
        <w:numPr>
          <w:ilvl w:val="0"/>
          <w:numId w:val="10"/>
        </w:numPr>
        <w:spacing w:line="300" w:lineRule="auto"/>
        <w:ind w:hanging="5"/>
        <w:rPr>
          <w:rFonts w:ascii="Times New Roman" w:hAnsi="Times New Roman"/>
          <w:snapToGrid w:val="0"/>
          <w:kern w:val="0"/>
          <w:szCs w:val="21"/>
        </w:rPr>
      </w:pPr>
      <w:r>
        <w:rPr>
          <w:rFonts w:hint="default" w:ascii="Times New Roman" w:hAnsi="Times New Roman"/>
          <w:snapToGrid w:val="0"/>
          <w:kern w:val="0"/>
        </w:rPr>
        <w:t>增加了</w:t>
      </w:r>
      <w:r>
        <w:rPr>
          <w:rFonts w:hint="default" w:ascii="Times New Roman" w:hAnsi="Times New Roman"/>
          <w:snapToGrid w:val="0"/>
          <w:kern w:val="0"/>
          <w:lang w:val="en-US" w:eastAsia="zh-CN"/>
        </w:rPr>
        <w:t>三水</w:t>
      </w:r>
      <w:r>
        <w:rPr>
          <w:rFonts w:hint="default" w:ascii="Times New Roman" w:hAnsi="Times New Roman"/>
          <w:snapToGrid w:val="0"/>
          <w:kern w:val="0"/>
          <w:szCs w:val="21"/>
        </w:rPr>
        <w:t>磷酸氢二钾</w:t>
      </w:r>
      <w:r>
        <w:rPr>
          <w:rFonts w:hint="eastAsia" w:ascii="Times New Roman" w:hAnsi="Times New Roman"/>
          <w:snapToGrid w:val="0"/>
          <w:kern w:val="0"/>
          <w:szCs w:val="21"/>
          <w:lang w:val="en-US" w:eastAsia="zh-CN"/>
        </w:rPr>
        <w:t>的</w:t>
      </w:r>
      <w:r>
        <w:rPr>
          <w:rFonts w:hint="default" w:ascii="Times New Roman" w:hAnsi="Times New Roman"/>
          <w:snapToGrid w:val="0"/>
          <w:kern w:val="0"/>
          <w:szCs w:val="21"/>
        </w:rPr>
        <w:t>指标要求（</w:t>
      </w:r>
      <w:r>
        <w:rPr>
          <w:rFonts w:hint="default" w:ascii="Times New Roman" w:hAnsi="Times New Roman"/>
          <w:snapToGrid w:val="0"/>
          <w:kern w:val="0"/>
        </w:rPr>
        <w:t>见6.2</w:t>
      </w:r>
      <w:r>
        <w:rPr>
          <w:rFonts w:hint="default" w:ascii="Times New Roman" w:hAnsi="Times New Roman"/>
          <w:snapToGrid w:val="0"/>
          <w:kern w:val="0"/>
          <w:szCs w:val="21"/>
        </w:rPr>
        <w:t>）</w:t>
      </w:r>
      <w:r>
        <w:rPr>
          <w:rFonts w:hint="default" w:ascii="Times New Roman" w:hAnsi="Times New Roman"/>
          <w:snapToGrid w:val="0"/>
          <w:kern w:val="0"/>
          <w:szCs w:val="21"/>
          <w:lang w:val="en-US" w:eastAsia="zh-CN"/>
        </w:rPr>
        <w:t>；</w:t>
      </w:r>
    </w:p>
    <w:p w14:paraId="75BD1AFB">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szCs w:val="21"/>
          <w:lang w:val="en-US" w:eastAsia="zh-CN"/>
        </w:rPr>
        <w:t>删除了</w:t>
      </w:r>
      <w:r>
        <w:rPr>
          <w:rFonts w:hint="default" w:ascii="Times New Roman" w:hAnsi="Times New Roman"/>
          <w:snapToGrid w:val="0"/>
          <w:kern w:val="0"/>
        </w:rPr>
        <w:t>磷酸氢二钾</w:t>
      </w:r>
      <w:r>
        <w:rPr>
          <w:rFonts w:hint="default" w:ascii="Times New Roman" w:hAnsi="Times New Roman"/>
          <w:snapToGrid w:val="0"/>
          <w:kern w:val="0"/>
          <w:lang w:eastAsia="zh-CN"/>
        </w:rPr>
        <w:t>（</w:t>
      </w:r>
      <w:r>
        <w:rPr>
          <w:rFonts w:hint="default" w:ascii="Times New Roman" w:hAnsi="Times New Roman"/>
          <w:snapToGrid w:val="0"/>
          <w:kern w:val="0"/>
          <w:szCs w:val="21"/>
          <w:lang w:val="en-US" w:eastAsia="zh-CN"/>
        </w:rPr>
        <w:t>以</w:t>
      </w:r>
      <w:r>
        <w:rPr>
          <w:rFonts w:hint="default" w:ascii="Times New Roman" w:hAnsi="Times New Roman"/>
          <w:sz w:val="21"/>
          <w:szCs w:val="21"/>
        </w:rPr>
        <w:t>P</w:t>
      </w:r>
      <w:r>
        <w:rPr>
          <w:rFonts w:ascii="Times New Roman" w:hAnsi="Times New Roman"/>
          <w:sz w:val="21"/>
          <w:szCs w:val="21"/>
          <w:vertAlign w:val="subscript"/>
        </w:rPr>
        <w:t>2</w:t>
      </w:r>
      <w:r>
        <w:rPr>
          <w:rFonts w:hint="default" w:ascii="Times New Roman" w:hAnsi="Times New Roman"/>
          <w:sz w:val="21"/>
          <w:szCs w:val="21"/>
        </w:rPr>
        <w:t>O</w:t>
      </w:r>
      <w:r>
        <w:rPr>
          <w:rFonts w:ascii="Times New Roman" w:hAnsi="Times New Roman"/>
          <w:sz w:val="21"/>
          <w:szCs w:val="21"/>
          <w:vertAlign w:val="subscript"/>
        </w:rPr>
        <w:t>5</w:t>
      </w:r>
      <w:r>
        <w:rPr>
          <w:rFonts w:hint="default" w:ascii="Times New Roman" w:hAnsi="Times New Roman"/>
          <w:sz w:val="21"/>
          <w:szCs w:val="21"/>
        </w:rPr>
        <w:t>计</w:t>
      </w:r>
      <w:r>
        <w:rPr>
          <w:rFonts w:hint="default" w:ascii="Times New Roman" w:hAnsi="Times New Roman"/>
          <w:snapToGrid w:val="0"/>
          <w:kern w:val="0"/>
          <w:lang w:eastAsia="zh-CN"/>
        </w:rPr>
        <w:t>）</w:t>
      </w:r>
      <w:r>
        <w:rPr>
          <w:rFonts w:hint="default" w:ascii="Times New Roman" w:hAnsi="Times New Roman"/>
          <w:snapToGrid w:val="0"/>
          <w:kern w:val="0"/>
          <w:lang w:val="en-US" w:eastAsia="zh-CN"/>
        </w:rPr>
        <w:t>项目及</w:t>
      </w:r>
      <w:r>
        <w:rPr>
          <w:rFonts w:hint="default" w:ascii="Times New Roman" w:hAnsi="Times New Roman"/>
          <w:snapToGrid w:val="0"/>
          <w:kern w:val="0"/>
        </w:rPr>
        <w:t>指标要求</w:t>
      </w:r>
      <w:r>
        <w:rPr>
          <w:rFonts w:hint="default" w:ascii="Times New Roman" w:hAnsi="Times New Roman"/>
          <w:snapToGrid w:val="0"/>
          <w:kern w:val="0"/>
          <w:szCs w:val="21"/>
        </w:rPr>
        <w:t>（</w:t>
      </w:r>
      <w:r>
        <w:rPr>
          <w:rFonts w:hint="default" w:ascii="Times New Roman" w:hAnsi="Times New Roman"/>
          <w:snapToGrid w:val="0"/>
          <w:kern w:val="0"/>
        </w:rPr>
        <w:t>见2013年版的</w:t>
      </w:r>
      <w:r>
        <w:rPr>
          <w:rFonts w:hint="default" w:ascii="Times New Roman" w:hAnsi="Times New Roman"/>
          <w:snapToGrid w:val="0"/>
          <w:kern w:val="0"/>
          <w:lang w:val="en-US" w:eastAsia="zh-CN"/>
        </w:rPr>
        <w:t>4</w:t>
      </w:r>
      <w:r>
        <w:rPr>
          <w:rFonts w:hint="default" w:ascii="Times New Roman" w:hAnsi="Times New Roman"/>
          <w:snapToGrid w:val="0"/>
          <w:kern w:val="0"/>
        </w:rPr>
        <w:t>.2</w:t>
      </w:r>
      <w:r>
        <w:rPr>
          <w:rFonts w:hint="default" w:ascii="Times New Roman" w:hAnsi="Times New Roman"/>
          <w:snapToGrid w:val="0"/>
          <w:kern w:val="0"/>
          <w:szCs w:val="21"/>
        </w:rPr>
        <w:t>）</w:t>
      </w:r>
      <w:r>
        <w:rPr>
          <w:rFonts w:hint="default" w:ascii="Times New Roman" w:hAnsi="Times New Roman"/>
          <w:snapToGrid w:val="0"/>
          <w:kern w:val="0"/>
          <w:szCs w:val="21"/>
          <w:lang w:val="en-US" w:eastAsia="zh-CN"/>
        </w:rPr>
        <w:t>；</w:t>
      </w:r>
    </w:p>
    <w:p w14:paraId="0BBC03ED">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增加了</w:t>
      </w:r>
      <w:r>
        <w:rPr>
          <w:rFonts w:hint="default" w:ascii="Times New Roman" w:hAnsi="Times New Roman"/>
          <w:snapToGrid w:val="0"/>
          <w:kern w:val="0"/>
          <w:lang w:val="en-US" w:eastAsia="zh-CN"/>
        </w:rPr>
        <w:t>总</w:t>
      </w:r>
      <w:r>
        <w:rPr>
          <w:rFonts w:hint="default" w:ascii="Times New Roman" w:hAnsi="Times New Roman"/>
          <w:snapToGrid w:val="0"/>
          <w:kern w:val="0"/>
        </w:rPr>
        <w:t>磷</w:t>
      </w:r>
      <w:r>
        <w:rPr>
          <w:rFonts w:hint="default" w:ascii="Times New Roman" w:hAnsi="Times New Roman"/>
          <w:snapToGrid w:val="0"/>
          <w:kern w:val="0"/>
          <w:lang w:eastAsia="zh-CN"/>
        </w:rPr>
        <w:t>（</w:t>
      </w:r>
      <w:r>
        <w:rPr>
          <w:rFonts w:hint="default" w:ascii="Times New Roman" w:hAnsi="Times New Roman"/>
          <w:snapToGrid w:val="0"/>
          <w:kern w:val="0"/>
          <w:szCs w:val="21"/>
          <w:lang w:val="en-US" w:eastAsia="zh-CN"/>
        </w:rPr>
        <w:t>以</w:t>
      </w:r>
      <w:r>
        <w:rPr>
          <w:rFonts w:hint="default" w:ascii="Times New Roman" w:hAnsi="Times New Roman"/>
          <w:sz w:val="21"/>
          <w:szCs w:val="21"/>
        </w:rPr>
        <w:t>P</w:t>
      </w:r>
      <w:r>
        <w:rPr>
          <w:rFonts w:ascii="Times New Roman" w:hAnsi="Times New Roman"/>
          <w:sz w:val="21"/>
          <w:szCs w:val="21"/>
          <w:vertAlign w:val="subscript"/>
        </w:rPr>
        <w:t>2</w:t>
      </w:r>
      <w:r>
        <w:rPr>
          <w:rFonts w:hint="default" w:ascii="Times New Roman" w:hAnsi="Times New Roman"/>
          <w:sz w:val="21"/>
          <w:szCs w:val="21"/>
        </w:rPr>
        <w:t>O</w:t>
      </w:r>
      <w:r>
        <w:rPr>
          <w:rFonts w:ascii="Times New Roman" w:hAnsi="Times New Roman"/>
          <w:sz w:val="21"/>
          <w:szCs w:val="21"/>
          <w:vertAlign w:val="subscript"/>
        </w:rPr>
        <w:t>5</w:t>
      </w:r>
      <w:r>
        <w:rPr>
          <w:rFonts w:hint="default" w:ascii="Times New Roman" w:hAnsi="Times New Roman"/>
          <w:sz w:val="21"/>
          <w:szCs w:val="21"/>
        </w:rPr>
        <w:t>计</w:t>
      </w:r>
      <w:r>
        <w:rPr>
          <w:rFonts w:hint="default" w:ascii="Times New Roman" w:hAnsi="Times New Roman"/>
          <w:snapToGrid w:val="0"/>
          <w:kern w:val="0"/>
          <w:lang w:eastAsia="zh-CN"/>
        </w:rPr>
        <w:t>）</w:t>
      </w:r>
      <w:r>
        <w:rPr>
          <w:rFonts w:hint="default" w:ascii="Times New Roman" w:hAnsi="Times New Roman"/>
          <w:snapToGrid w:val="0"/>
          <w:kern w:val="0"/>
          <w:lang w:val="en-US" w:eastAsia="zh-CN"/>
        </w:rPr>
        <w:t>项目及</w:t>
      </w:r>
      <w:r>
        <w:rPr>
          <w:rFonts w:hint="default" w:ascii="Times New Roman" w:hAnsi="Times New Roman"/>
          <w:snapToGrid w:val="0"/>
          <w:kern w:val="0"/>
        </w:rPr>
        <w:t>指标要求（见6.2）；</w:t>
      </w:r>
    </w:p>
    <w:p w14:paraId="25E23C9D">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增加了</w:t>
      </w:r>
      <w:r>
        <w:rPr>
          <w:rFonts w:ascii="Times New Roman" w:hAnsi="Times New Roman"/>
          <w:snapToGrid w:val="0"/>
          <w:kern w:val="0"/>
        </w:rPr>
        <w:t>干燥减量</w:t>
      </w:r>
      <w:r>
        <w:rPr>
          <w:rFonts w:hint="default" w:ascii="Times New Roman" w:hAnsi="Times New Roman"/>
          <w:snapToGrid w:val="0"/>
          <w:kern w:val="0"/>
          <w:lang w:val="en-US" w:eastAsia="zh-CN"/>
        </w:rPr>
        <w:t>项目及</w:t>
      </w:r>
      <w:r>
        <w:rPr>
          <w:rFonts w:hint="default" w:ascii="Times New Roman" w:hAnsi="Times New Roman"/>
          <w:snapToGrid w:val="0"/>
          <w:kern w:val="0"/>
        </w:rPr>
        <w:t>指标要求（见6.2）；</w:t>
      </w:r>
    </w:p>
    <w:p w14:paraId="66B36BE6">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更改了</w:t>
      </w:r>
      <w:r>
        <w:rPr>
          <w:rFonts w:hint="default" w:ascii="Times New Roman" w:hAnsi="Times New Roman"/>
          <w:snapToGrid w:val="0"/>
          <w:kern w:val="0"/>
          <w:lang w:val="en-US" w:eastAsia="zh-CN"/>
        </w:rPr>
        <w:t>无水</w:t>
      </w:r>
      <w:r>
        <w:rPr>
          <w:rFonts w:hint="default" w:ascii="Times New Roman" w:hAnsi="Times New Roman"/>
          <w:snapToGrid w:val="0"/>
          <w:kern w:val="0"/>
        </w:rPr>
        <w:t>磷酸氢二钾中</w:t>
      </w:r>
      <w:r>
        <w:rPr>
          <w:rFonts w:hint="default" w:ascii="Times New Roman" w:hAnsi="Times New Roman"/>
          <w:snapToGrid w:val="0"/>
          <w:kern w:val="0"/>
          <w:lang w:val="en-US" w:eastAsia="zh-CN"/>
        </w:rPr>
        <w:t>氧化钾的</w:t>
      </w:r>
      <w:r>
        <w:rPr>
          <w:rFonts w:hint="default" w:ascii="Times New Roman" w:hAnsi="Times New Roman"/>
          <w:snapToGrid w:val="0"/>
          <w:kern w:val="0"/>
        </w:rPr>
        <w:t>指标要求（见6.2，2013年版的4.2）；</w:t>
      </w:r>
    </w:p>
    <w:p w14:paraId="5B5B70B3">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lang w:val="en-US" w:eastAsia="zh-CN"/>
        </w:rPr>
        <w:t>删除了</w:t>
      </w:r>
      <w:r>
        <w:rPr>
          <w:rFonts w:hint="default" w:ascii="Times New Roman" w:hAnsi="Times New Roman"/>
          <w:snapToGrid w:val="0"/>
          <w:kern w:val="0"/>
        </w:rPr>
        <w:t>磷酸氢二钾</w:t>
      </w:r>
      <w:r>
        <w:rPr>
          <w:rFonts w:hint="default" w:ascii="Times New Roman" w:hAnsi="Times New Roman"/>
          <w:snapToGrid w:val="0"/>
          <w:kern w:val="0"/>
          <w:lang w:val="en-US" w:eastAsia="zh-CN"/>
        </w:rPr>
        <w:t>含量测定中的容量法</w:t>
      </w:r>
      <w:r>
        <w:rPr>
          <w:rFonts w:hint="default" w:ascii="Times New Roman" w:hAnsi="Times New Roman"/>
          <w:snapToGrid w:val="0"/>
          <w:kern w:val="0"/>
        </w:rPr>
        <w:t>（见2013年版的</w:t>
      </w:r>
      <w:r>
        <w:rPr>
          <w:rFonts w:hint="default" w:ascii="Times New Roman" w:hAnsi="Times New Roman"/>
          <w:snapToGrid w:val="0"/>
          <w:kern w:val="0"/>
          <w:lang w:val="en-US" w:eastAsia="zh-CN"/>
        </w:rPr>
        <w:t>5.</w:t>
      </w:r>
      <w:r>
        <w:rPr>
          <w:rFonts w:hint="default" w:ascii="Times New Roman" w:hAnsi="Times New Roman"/>
          <w:snapToGrid w:val="0"/>
          <w:kern w:val="0"/>
        </w:rPr>
        <w:t>4.2）；</w:t>
      </w:r>
    </w:p>
    <w:p w14:paraId="24051578">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增加了干燥减量的测定方法（见7.5）；</w:t>
      </w:r>
    </w:p>
    <w:p w14:paraId="5E9E5F8C">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增加了离子色谱法测定</w:t>
      </w:r>
      <w:r>
        <w:rPr>
          <w:rFonts w:hint="default" w:ascii="Times New Roman" w:hAnsi="Times New Roman"/>
          <w:snapToGrid w:val="0"/>
          <w:kern w:val="0"/>
          <w:lang w:val="en-US" w:eastAsia="zh-CN"/>
        </w:rPr>
        <w:t>产品中</w:t>
      </w:r>
      <w:r>
        <w:rPr>
          <w:rFonts w:hint="default" w:ascii="Times New Roman" w:hAnsi="Times New Roman"/>
          <w:snapToGrid w:val="0"/>
          <w:kern w:val="0"/>
        </w:rPr>
        <w:t>氯化物含量（见7.7）；</w:t>
      </w:r>
    </w:p>
    <w:p w14:paraId="630AB6F7">
      <w:pPr>
        <w:pStyle w:val="13"/>
        <w:numPr>
          <w:ilvl w:val="0"/>
          <w:numId w:val="10"/>
        </w:numPr>
        <w:spacing w:line="300" w:lineRule="auto"/>
        <w:ind w:hanging="5"/>
        <w:rPr>
          <w:rFonts w:ascii="Times New Roman" w:hAnsi="Times New Roman"/>
          <w:snapToGrid w:val="0"/>
          <w:kern w:val="0"/>
        </w:rPr>
      </w:pPr>
      <w:r>
        <w:rPr>
          <w:rFonts w:hint="default" w:ascii="Times New Roman" w:hAnsi="Times New Roman"/>
          <w:snapToGrid w:val="0"/>
          <w:kern w:val="0"/>
        </w:rPr>
        <w:t>增加了原子荧光法测定</w:t>
      </w:r>
      <w:r>
        <w:rPr>
          <w:rFonts w:hint="default" w:ascii="Times New Roman" w:hAnsi="Times New Roman"/>
          <w:snapToGrid w:val="0"/>
          <w:kern w:val="0"/>
          <w:lang w:val="en-US" w:eastAsia="zh-CN"/>
        </w:rPr>
        <w:t>产品中</w:t>
      </w:r>
      <w:r>
        <w:rPr>
          <w:rFonts w:hint="default" w:ascii="Times New Roman" w:hAnsi="Times New Roman"/>
          <w:snapToGrid w:val="0"/>
          <w:kern w:val="0"/>
        </w:rPr>
        <w:t>砷含量（见7.9）；。</w:t>
      </w:r>
    </w:p>
    <w:p w14:paraId="4064664A">
      <w:pPr>
        <w:spacing w:line="360" w:lineRule="exact"/>
        <w:ind w:firstLine="420" w:firstLineChars="200"/>
        <w:rPr>
          <w:snapToGrid w:val="0"/>
          <w:kern w:val="0"/>
        </w:rPr>
      </w:pPr>
      <w:r>
        <w:rPr>
          <w:rFonts w:hint="eastAsia"/>
          <w:snapToGrid w:val="0"/>
          <w:kern w:val="0"/>
        </w:rPr>
        <w:t>本文件由中国石油和化学工业联合会提出。</w:t>
      </w:r>
    </w:p>
    <w:p w14:paraId="302F2A57">
      <w:pPr>
        <w:spacing w:line="360" w:lineRule="exact"/>
        <w:ind w:firstLine="420" w:firstLineChars="200"/>
        <w:rPr>
          <w:snapToGrid w:val="0"/>
          <w:kern w:val="0"/>
        </w:rPr>
      </w:pPr>
      <w:r>
        <w:rPr>
          <w:rFonts w:hint="eastAsia"/>
          <w:snapToGrid w:val="0"/>
          <w:kern w:val="0"/>
        </w:rPr>
        <w:t>本文件由全国化学标准化技术委员会无机化工分技术委员会（SAC/TC63/SC1）归口。</w:t>
      </w:r>
    </w:p>
    <w:p w14:paraId="54A33BB4">
      <w:pPr>
        <w:pStyle w:val="24"/>
        <w:spacing w:line="360" w:lineRule="exact"/>
        <w:rPr>
          <w:rFonts w:ascii="Times New Roman"/>
          <w:snapToGrid w:val="0"/>
          <w:szCs w:val="21"/>
        </w:rPr>
      </w:pPr>
      <w:r>
        <w:rPr>
          <w:rFonts w:hint="default" w:ascii="Times New Roman" w:hAnsi="Times New Roman"/>
          <w:snapToGrid w:val="0"/>
        </w:rPr>
        <w:t>本文件起草单位：</w:t>
      </w:r>
      <w:r>
        <w:rPr>
          <w:rFonts w:hint="default" w:ascii="Times New Roman"/>
          <w:snapToGrid w:val="0"/>
          <w:szCs w:val="21"/>
        </w:rPr>
        <w:t>。</w:t>
      </w:r>
    </w:p>
    <w:p w14:paraId="3044AE67">
      <w:pPr>
        <w:pStyle w:val="24"/>
        <w:spacing w:line="360" w:lineRule="exact"/>
        <w:rPr>
          <w:rFonts w:ascii="Times New Roman"/>
          <w:snapToGrid w:val="0"/>
          <w:szCs w:val="21"/>
        </w:rPr>
      </w:pPr>
      <w:r>
        <w:rPr>
          <w:rFonts w:hint="default" w:ascii="Times New Roman"/>
          <w:snapToGrid w:val="0"/>
          <w:szCs w:val="21"/>
        </w:rPr>
        <w:t>本文件主要起草人：。</w:t>
      </w:r>
    </w:p>
    <w:p w14:paraId="3244C683">
      <w:pPr>
        <w:pStyle w:val="24"/>
        <w:spacing w:line="360" w:lineRule="exact"/>
        <w:rPr>
          <w:rFonts w:ascii="Times New Roman"/>
          <w:snapToGrid w:val="0"/>
        </w:rPr>
        <w:sectPr>
          <w:headerReference r:id="rId3" w:type="default"/>
          <w:footerReference r:id="rId4" w:type="default"/>
          <w:pgSz w:w="11906" w:h="16838"/>
          <w:pgMar w:top="567" w:right="1134" w:bottom="1134" w:left="1418" w:header="1418" w:footer="1134" w:gutter="0"/>
          <w:pgNumType w:fmt="upperRoman" w:start="1"/>
          <w:cols w:space="425" w:num="1"/>
          <w:formProt w:val="0"/>
          <w:docGrid w:type="lines" w:linePitch="312" w:charSpace="0"/>
        </w:sectPr>
      </w:pPr>
      <w:r>
        <w:rPr>
          <w:rFonts w:ascii="Times New Roman"/>
        </w:rPr>
        <w:t>——20</w:t>
      </w:r>
      <w:r>
        <w:rPr>
          <w:rFonts w:hint="eastAsia" w:ascii="Times New Roman"/>
        </w:rPr>
        <w:t>13</w:t>
      </w:r>
      <w:r>
        <w:rPr>
          <w:rFonts w:ascii="Times New Roman"/>
        </w:rPr>
        <w:t xml:space="preserve">年首次发布为 </w:t>
      </w:r>
      <w:r>
        <w:rPr>
          <w:rFonts w:hint="default" w:ascii="Times New Roman"/>
          <w:snapToGrid w:val="0"/>
        </w:rPr>
        <w:t>HG/T 4510—2013</w:t>
      </w:r>
      <w:r>
        <w:rPr>
          <w:rFonts w:ascii="Times New Roman"/>
        </w:rPr>
        <w:t>，本次为第一次修订。</w:t>
      </w:r>
    </w:p>
    <w:p w14:paraId="6BFF37F3">
      <w:pPr>
        <w:pStyle w:val="52"/>
        <w:rPr>
          <w:snapToGrid w:val="0"/>
        </w:rPr>
      </w:pPr>
      <w:r>
        <w:rPr>
          <w:rFonts w:hint="eastAsia"/>
          <w:snapToGrid w:val="0"/>
        </w:rPr>
        <w:t>工</w:t>
      </w:r>
      <w:bookmarkStart w:id="18" w:name="StandardName"/>
      <w:r>
        <w:rPr>
          <w:rFonts w:hint="eastAsia"/>
          <w:snapToGrid w:val="0"/>
        </w:rPr>
        <w:t>业磷酸</w:t>
      </w:r>
      <w:bookmarkEnd w:id="18"/>
      <w:r>
        <w:rPr>
          <w:rFonts w:hint="eastAsia"/>
          <w:snapToGrid w:val="0"/>
        </w:rPr>
        <w:t>氢二钾</w:t>
      </w:r>
    </w:p>
    <w:p w14:paraId="69889C88">
      <w:pPr>
        <w:pStyle w:val="47"/>
        <w:spacing w:before="312" w:after="312"/>
        <w:rPr>
          <w:snapToGrid w:val="0"/>
        </w:rPr>
      </w:pPr>
      <w:r>
        <w:rPr>
          <w:rFonts w:hint="eastAsia"/>
          <w:snapToGrid w:val="0"/>
        </w:rPr>
        <w:t>范围</w:t>
      </w:r>
    </w:p>
    <w:p w14:paraId="7BB421E1">
      <w:pPr>
        <w:pStyle w:val="24"/>
        <w:spacing w:line="360" w:lineRule="exact"/>
        <w:rPr>
          <w:snapToGrid w:val="0"/>
        </w:rPr>
      </w:pPr>
      <w:r>
        <w:rPr>
          <w:rFonts w:hint="eastAsia"/>
          <w:snapToGrid w:val="0"/>
        </w:rPr>
        <w:t>本文件规定了工业磷酸氢二钾的要求、试验方法、检验规则、标志、标签、包装、运输和贮存。</w:t>
      </w:r>
    </w:p>
    <w:p w14:paraId="3A1A6D49">
      <w:pPr>
        <w:pStyle w:val="24"/>
        <w:spacing w:line="360" w:lineRule="exact"/>
        <w:rPr>
          <w:snapToGrid w:val="0"/>
        </w:rPr>
      </w:pPr>
      <w:r>
        <w:rPr>
          <w:rFonts w:hint="eastAsia"/>
          <w:snapToGrid w:val="0"/>
        </w:rPr>
        <w:t>本文件适用于工业</w:t>
      </w:r>
      <w:bookmarkStart w:id="19" w:name="OLE_LINK1"/>
      <w:r>
        <w:rPr>
          <w:rFonts w:hint="eastAsia"/>
          <w:snapToGrid w:val="0"/>
        </w:rPr>
        <w:t>磷酸氢二钾</w:t>
      </w:r>
      <w:bookmarkEnd w:id="19"/>
      <w:r>
        <w:rPr>
          <w:rFonts w:hint="eastAsia"/>
          <w:snapToGrid w:val="0"/>
        </w:rPr>
        <w:t>。</w:t>
      </w:r>
    </w:p>
    <w:p w14:paraId="104580CE">
      <w:pPr>
        <w:pStyle w:val="24"/>
        <w:spacing w:line="360" w:lineRule="exact"/>
        <w:ind w:firstLine="540" w:firstLineChars="300"/>
        <w:rPr>
          <w:snapToGrid w:val="0"/>
          <w:sz w:val="18"/>
          <w:szCs w:val="18"/>
        </w:rPr>
      </w:pPr>
      <w:r>
        <w:rPr>
          <w:rFonts w:hint="eastAsia" w:ascii="黑体" w:hAnsi="黑体" w:eastAsia="黑体"/>
          <w:snapToGrid w:val="0"/>
          <w:sz w:val="18"/>
          <w:szCs w:val="18"/>
        </w:rPr>
        <w:t>注：</w:t>
      </w:r>
      <w:r>
        <w:rPr>
          <w:rFonts w:hint="eastAsia"/>
          <w:snapToGrid w:val="0"/>
          <w:sz w:val="18"/>
          <w:szCs w:val="18"/>
        </w:rPr>
        <w:t>该产品主要用</w:t>
      </w:r>
      <w:r>
        <w:rPr>
          <w:rFonts w:hint="eastAsia" w:hAnsi="宋体"/>
          <w:sz w:val="18"/>
          <w:szCs w:val="18"/>
        </w:rPr>
        <w:t>作酸碱调节剂、缓冲剂、细菌培养基以及用于生产焦磷酸钾等</w:t>
      </w:r>
      <w:r>
        <w:rPr>
          <w:rFonts w:hint="eastAsia"/>
          <w:snapToGrid w:val="0"/>
          <w:sz w:val="18"/>
          <w:szCs w:val="18"/>
        </w:rPr>
        <w:t>。</w:t>
      </w:r>
    </w:p>
    <w:p w14:paraId="538C5048">
      <w:pPr>
        <w:pStyle w:val="47"/>
        <w:spacing w:before="312" w:after="312"/>
        <w:rPr>
          <w:snapToGrid w:val="0"/>
        </w:rPr>
      </w:pPr>
      <w:r>
        <w:rPr>
          <w:rFonts w:hint="eastAsia"/>
          <w:snapToGrid w:val="0"/>
        </w:rPr>
        <w:t>规范性引用文件</w:t>
      </w:r>
    </w:p>
    <w:p w14:paraId="4E7A68B5">
      <w:pPr>
        <w:spacing w:line="300" w:lineRule="auto"/>
        <w:ind w:firstLine="420" w:firstLineChars="20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9EE5524">
      <w:pPr>
        <w:spacing w:line="360" w:lineRule="exact"/>
        <w:ind w:firstLine="435"/>
        <w:rPr>
          <w:snapToGrid w:val="0"/>
          <w:kern w:val="0"/>
          <w:szCs w:val="28"/>
        </w:rPr>
      </w:pPr>
      <w:r>
        <w:rPr>
          <w:rFonts w:hint="eastAsia"/>
          <w:snapToGrid w:val="0"/>
          <w:kern w:val="0"/>
          <w:szCs w:val="28"/>
        </w:rPr>
        <w:t>GB/T 191—2008  包装储运图示标志</w:t>
      </w:r>
    </w:p>
    <w:p w14:paraId="085F9B78">
      <w:pPr>
        <w:pStyle w:val="33"/>
        <w:spacing w:line="360" w:lineRule="exact"/>
        <w:ind w:firstLineChars="200"/>
      </w:pPr>
      <w:r>
        <w:rPr>
          <w:rFonts w:hint="eastAsia"/>
        </w:rPr>
        <w:t>GB/T 3049—2006 工业用化工产品 铁含量测定的通用方法  1,10-菲啰啉分光光度法</w:t>
      </w:r>
    </w:p>
    <w:p w14:paraId="0A043281">
      <w:pPr>
        <w:spacing w:line="360" w:lineRule="exact"/>
        <w:ind w:firstLine="420" w:firstLineChars="200"/>
        <w:rPr>
          <w:snapToGrid w:val="0"/>
          <w:kern w:val="0"/>
          <w:szCs w:val="28"/>
        </w:rPr>
      </w:pPr>
      <w:r>
        <w:rPr>
          <w:rFonts w:hint="eastAsia"/>
          <w:snapToGrid w:val="0"/>
          <w:kern w:val="0"/>
          <w:szCs w:val="28"/>
        </w:rPr>
        <w:t>GB/T 6678  化工产品采样总则</w:t>
      </w:r>
    </w:p>
    <w:p w14:paraId="30F78AF6">
      <w:pPr>
        <w:spacing w:line="360" w:lineRule="exact"/>
        <w:ind w:firstLine="420" w:firstLineChars="200"/>
        <w:rPr>
          <w:snapToGrid w:val="0"/>
          <w:kern w:val="0"/>
          <w:szCs w:val="28"/>
        </w:rPr>
      </w:pPr>
      <w:r>
        <w:rPr>
          <w:rFonts w:hint="eastAsia"/>
          <w:snapToGrid w:val="0"/>
          <w:kern w:val="0"/>
          <w:szCs w:val="28"/>
        </w:rPr>
        <w:t>GB/T 6682—2008  分析实验室用水规格和试验方法</w:t>
      </w:r>
    </w:p>
    <w:p w14:paraId="171BFB39">
      <w:pPr>
        <w:spacing w:line="360" w:lineRule="exact"/>
        <w:ind w:firstLine="420" w:firstLineChars="200"/>
        <w:rPr>
          <w:snapToGrid w:val="0"/>
          <w:kern w:val="0"/>
        </w:rPr>
      </w:pPr>
      <w:r>
        <w:rPr>
          <w:snapToGrid w:val="0"/>
          <w:kern w:val="0"/>
        </w:rPr>
        <w:t>GB/T</w:t>
      </w:r>
      <w:r>
        <w:rPr>
          <w:rFonts w:hint="eastAsia"/>
          <w:snapToGrid w:val="0"/>
          <w:kern w:val="0"/>
        </w:rPr>
        <w:t xml:space="preserve"> </w:t>
      </w:r>
      <w:r>
        <w:rPr>
          <w:snapToGrid w:val="0"/>
          <w:kern w:val="0"/>
        </w:rPr>
        <w:t xml:space="preserve">8170  </w:t>
      </w:r>
      <w:r>
        <w:rPr>
          <w:rFonts w:hint="eastAsia"/>
          <w:snapToGrid w:val="0"/>
          <w:kern w:val="0"/>
        </w:rPr>
        <w:t>数值修约规则与极限数值的表示和判定</w:t>
      </w:r>
    </w:p>
    <w:p w14:paraId="3C055D80">
      <w:pPr>
        <w:pStyle w:val="24"/>
        <w:spacing w:line="360" w:lineRule="exact"/>
        <w:rPr>
          <w:rFonts w:hint="eastAsia" w:hAnsi="宋体"/>
          <w:snapToGrid w:val="0"/>
        </w:rPr>
      </w:pPr>
      <w:r>
        <w:rPr>
          <w:rFonts w:ascii="Times New Roman"/>
        </w:rPr>
        <w:t>GB/T 23947.2 无机化工产品中砷测定的通用方法 第2部分：砷斑法</w:t>
      </w:r>
    </w:p>
    <w:p w14:paraId="63F2F5F2">
      <w:pPr>
        <w:pStyle w:val="33"/>
        <w:spacing w:line="360" w:lineRule="exact"/>
        <w:ind w:firstLineChars="200"/>
      </w:pPr>
      <w:r>
        <w:rPr>
          <w:rFonts w:hint="eastAsia"/>
        </w:rPr>
        <w:t>HG/T 3696.1  无机化工产品 化学分析用标准溶液、制剂及制品的制备  第1部分：标准滴定溶液的制备</w:t>
      </w:r>
    </w:p>
    <w:p w14:paraId="0292C737">
      <w:pPr>
        <w:pStyle w:val="33"/>
        <w:spacing w:line="360" w:lineRule="exact"/>
        <w:ind w:firstLineChars="200"/>
      </w:pPr>
      <w:r>
        <w:rPr>
          <w:rFonts w:hint="eastAsia"/>
        </w:rPr>
        <w:t>HG/T 3696.2  无机化工产品 化学分析用标准溶液、制剂及制品的制备  第2部分：杂质标准溶液的制备</w:t>
      </w:r>
    </w:p>
    <w:p w14:paraId="16A614C8">
      <w:pPr>
        <w:pStyle w:val="33"/>
        <w:spacing w:line="360" w:lineRule="exact"/>
        <w:ind w:firstLineChars="200"/>
      </w:pPr>
      <w:r>
        <w:rPr>
          <w:rFonts w:hint="eastAsia"/>
        </w:rPr>
        <w:t>HG/T 3696.3  无机化工产品 化学分析用标准溶液、制剂及制品的制备  第3部分：制剂及制品的制备</w:t>
      </w:r>
    </w:p>
    <w:p w14:paraId="3DDBB466">
      <w:pPr>
        <w:pStyle w:val="47"/>
        <w:spacing w:before="312" w:after="312" w:line="360" w:lineRule="exact"/>
      </w:pPr>
      <w:r>
        <w:rPr>
          <w:rFonts w:hint="eastAsia"/>
        </w:rPr>
        <w:t>术语和定义</w:t>
      </w:r>
    </w:p>
    <w:p w14:paraId="1EAD3192">
      <w:pPr>
        <w:spacing w:line="360" w:lineRule="exact"/>
        <w:ind w:firstLine="435"/>
        <w:rPr>
          <w:szCs w:val="21"/>
        </w:rPr>
      </w:pPr>
      <w:r>
        <w:rPr>
          <w:rFonts w:hint="eastAsia"/>
        </w:rPr>
        <w:t>本文件没有需要界定的术语和定义。</w:t>
      </w:r>
    </w:p>
    <w:p w14:paraId="09C53E10">
      <w:pPr>
        <w:pStyle w:val="47"/>
        <w:spacing w:before="312" w:after="312"/>
        <w:rPr>
          <w:snapToGrid w:val="0"/>
        </w:rPr>
      </w:pPr>
      <w:r>
        <w:rPr>
          <w:rFonts w:hint="eastAsia"/>
          <w:snapToGrid w:val="0"/>
        </w:rPr>
        <w:t>分子式和相对分子质量</w:t>
      </w:r>
    </w:p>
    <w:p w14:paraId="44940495">
      <w:pPr>
        <w:pStyle w:val="47"/>
        <w:numPr>
          <w:ilvl w:val="0"/>
          <w:numId w:val="0"/>
        </w:numPr>
        <w:spacing w:beforeLines="0" w:afterLines="0" w:line="360" w:lineRule="exact"/>
        <w:ind w:firstLine="420" w:firstLineChars="200"/>
        <w:rPr>
          <w:rFonts w:ascii="Times New Roman" w:eastAsiaTheme="minorEastAsia"/>
          <w:snapToGrid w:val="0"/>
        </w:rPr>
      </w:pPr>
      <w:r>
        <w:rPr>
          <w:rFonts w:ascii="Times New Roman" w:hAnsi="宋体" w:eastAsia="宋体"/>
          <w:snapToGrid w:val="0"/>
        </w:rPr>
        <w:t>分子式：</w:t>
      </w:r>
      <w:r>
        <w:rPr>
          <w:rFonts w:hint="eastAsia" w:ascii="Times New Roman"/>
        </w:rPr>
        <w:t>K</w:t>
      </w:r>
      <w:r>
        <w:rPr>
          <w:rFonts w:hint="eastAsia" w:ascii="Times New Roman"/>
          <w:vertAlign w:val="subscript"/>
        </w:rPr>
        <w:t>2</w:t>
      </w:r>
      <w:r>
        <w:rPr>
          <w:rFonts w:ascii="Times New Roman"/>
        </w:rPr>
        <w:t>HPO</w:t>
      </w:r>
      <w:r>
        <w:rPr>
          <w:rFonts w:ascii="Times New Roman"/>
          <w:vertAlign w:val="subscript"/>
        </w:rPr>
        <w:t>4</w:t>
      </w:r>
      <w:r>
        <w:rPr>
          <w:rFonts w:ascii="Times New Roman" w:eastAsiaTheme="minorEastAsia"/>
          <w:szCs w:val="15"/>
        </w:rPr>
        <w:t>•</w:t>
      </w:r>
      <w:r>
        <w:rPr>
          <w:rFonts w:hint="eastAsia" w:ascii="Times New Roman" w:eastAsiaTheme="minorEastAsia"/>
          <w:szCs w:val="15"/>
        </w:rPr>
        <w:t>n</w:t>
      </w:r>
      <w:r>
        <w:rPr>
          <w:rFonts w:ascii="Times New Roman" w:eastAsiaTheme="minorEastAsia"/>
          <w:szCs w:val="15"/>
        </w:rPr>
        <w:t>H</w:t>
      </w:r>
      <w:r>
        <w:rPr>
          <w:rFonts w:ascii="Times New Roman" w:eastAsiaTheme="minorEastAsia"/>
          <w:szCs w:val="15"/>
          <w:vertAlign w:val="subscript"/>
        </w:rPr>
        <w:t>2</w:t>
      </w:r>
      <w:r>
        <w:rPr>
          <w:rFonts w:ascii="Times New Roman" w:eastAsiaTheme="minorEastAsia"/>
          <w:szCs w:val="15"/>
        </w:rPr>
        <w:t>O</w:t>
      </w:r>
      <w:r>
        <w:rPr>
          <w:rFonts w:hint="eastAsia" w:ascii="Times New Roman" w:eastAsiaTheme="minorEastAsia"/>
          <w:szCs w:val="15"/>
        </w:rPr>
        <w:t>（n=0或3）</w:t>
      </w:r>
    </w:p>
    <w:p w14:paraId="22C260DB">
      <w:pPr>
        <w:pStyle w:val="47"/>
        <w:numPr>
          <w:ilvl w:val="0"/>
          <w:numId w:val="0"/>
        </w:numPr>
        <w:spacing w:beforeLines="0" w:afterLines="0" w:line="360" w:lineRule="exact"/>
        <w:ind w:firstLine="420" w:firstLineChars="200"/>
        <w:rPr>
          <w:rFonts w:ascii="Times New Roman" w:eastAsiaTheme="minorEastAsia"/>
          <w:szCs w:val="15"/>
          <w:vertAlign w:val="subscript"/>
        </w:rPr>
      </w:pPr>
      <w:r>
        <w:rPr>
          <w:rFonts w:ascii="Times New Roman" w:hAnsi="宋体" w:eastAsia="宋体"/>
          <w:snapToGrid w:val="0"/>
          <w:lang w:val="zh-CN"/>
        </w:rPr>
        <w:t>相对分子质量</w:t>
      </w:r>
      <w:r>
        <w:rPr>
          <w:rFonts w:ascii="Times New Roman" w:hAnsi="宋体" w:eastAsia="宋体"/>
          <w:snapToGrid w:val="0"/>
        </w:rPr>
        <w:t>：</w:t>
      </w:r>
      <w:r>
        <w:rPr>
          <w:rFonts w:ascii="Times New Roman" w:eastAsiaTheme="minorEastAsia"/>
        </w:rPr>
        <w:t>174.1</w:t>
      </w:r>
      <w:r>
        <w:rPr>
          <w:rFonts w:hint="eastAsia" w:ascii="Times New Roman" w:eastAsiaTheme="minorEastAsia"/>
        </w:rPr>
        <w:t>7</w:t>
      </w:r>
      <w:r>
        <w:rPr>
          <w:rFonts w:hint="eastAsia" w:ascii="Times New Roman" w:eastAsiaTheme="minorEastAsia"/>
          <w:szCs w:val="15"/>
        </w:rPr>
        <w:t>（n=0）或</w:t>
      </w:r>
      <w:r>
        <w:rPr>
          <w:rFonts w:hint="eastAsia" w:ascii="Times New Roman" w:hAnsiTheme="minorEastAsia" w:eastAsiaTheme="minorEastAsia"/>
          <w:szCs w:val="22"/>
        </w:rPr>
        <w:t>228.22</w:t>
      </w:r>
      <w:r>
        <w:rPr>
          <w:rFonts w:hint="eastAsia" w:ascii="Times New Roman" w:eastAsiaTheme="minorEastAsia"/>
          <w:szCs w:val="15"/>
        </w:rPr>
        <w:t>（n=3）</w:t>
      </w:r>
      <w:r>
        <w:rPr>
          <w:rFonts w:ascii="Times New Roman" w:hAnsiTheme="minorEastAsia" w:eastAsiaTheme="minorEastAsia"/>
        </w:rPr>
        <w:t>（按</w:t>
      </w:r>
      <w:r>
        <w:rPr>
          <w:rFonts w:ascii="Times New Roman" w:eastAsiaTheme="minorEastAsia"/>
        </w:rPr>
        <w:t>20</w:t>
      </w:r>
      <w:r>
        <w:rPr>
          <w:rFonts w:hint="eastAsia" w:ascii="Times New Roman" w:eastAsiaTheme="minorEastAsia"/>
        </w:rPr>
        <w:t>22</w:t>
      </w:r>
      <w:r>
        <w:rPr>
          <w:rFonts w:ascii="Times New Roman" w:hAnsiTheme="minorEastAsia" w:eastAsiaTheme="minorEastAsia"/>
        </w:rPr>
        <w:t>年国际相对原子质</w:t>
      </w:r>
      <w:r>
        <w:rPr>
          <w:rFonts w:hint="eastAsia" w:ascii="Times New Roman" w:hAnsiTheme="minorEastAsia" w:eastAsiaTheme="minorEastAsia"/>
        </w:rPr>
        <w:t>量</w:t>
      </w:r>
      <w:r>
        <w:rPr>
          <w:rFonts w:ascii="Times New Roman" w:hAnsiTheme="minorEastAsia" w:eastAsiaTheme="minorEastAsia"/>
        </w:rPr>
        <w:t>）</w:t>
      </w:r>
    </w:p>
    <w:p w14:paraId="1EA5863C">
      <w:pPr>
        <w:pStyle w:val="47"/>
        <w:spacing w:before="312" w:after="312"/>
      </w:pPr>
      <w:r>
        <w:rPr>
          <w:rFonts w:hint="eastAsia"/>
        </w:rPr>
        <w:t>分类</w:t>
      </w:r>
    </w:p>
    <w:p w14:paraId="3D4DA444">
      <w:pPr>
        <w:pStyle w:val="24"/>
        <w:spacing w:line="276" w:lineRule="auto"/>
        <w:rPr>
          <w:rFonts w:ascii="Times New Roman"/>
          <w:lang w:val="zh-CN"/>
        </w:rPr>
      </w:pPr>
      <w:r>
        <w:rPr>
          <w:rFonts w:hint="eastAsia"/>
          <w:snapToGrid w:val="0"/>
        </w:rPr>
        <w:t>工业磷酸氢二钾</w:t>
      </w:r>
      <w:r>
        <w:t>分为</w:t>
      </w:r>
      <w:r>
        <w:rPr>
          <w:rFonts w:hint="eastAsia" w:ascii="Times New Roman"/>
          <w:lang w:val="zh-CN"/>
        </w:rPr>
        <w:t>Ⅰ型</w:t>
      </w:r>
      <w:r>
        <w:rPr>
          <w:rFonts w:hint="eastAsia"/>
        </w:rPr>
        <w:t>和</w:t>
      </w:r>
      <w:r>
        <w:rPr>
          <w:rFonts w:hint="eastAsia" w:ascii="Times New Roman"/>
          <w:lang w:val="zh-CN"/>
        </w:rPr>
        <w:t>Ⅱ型</w:t>
      </w:r>
      <w:r>
        <w:t>：</w:t>
      </w:r>
    </w:p>
    <w:p w14:paraId="508910BD">
      <w:pPr>
        <w:pStyle w:val="50"/>
        <w:numPr>
          <w:ilvl w:val="0"/>
          <w:numId w:val="11"/>
        </w:numPr>
        <w:spacing w:line="276" w:lineRule="auto"/>
        <w:ind w:hanging="5"/>
        <w:rPr>
          <w:rFonts w:ascii="Times New Roman"/>
          <w:lang w:val="zh-CN"/>
        </w:rPr>
      </w:pPr>
      <w:r>
        <w:rPr>
          <w:rFonts w:hAnsi="宋体"/>
          <w:lang w:val="zh-CN"/>
        </w:rPr>
        <w:t>Ⅰ</w:t>
      </w:r>
      <w:r>
        <w:rPr>
          <w:rFonts w:ascii="Times New Roman"/>
          <w:lang w:val="zh-CN"/>
        </w:rPr>
        <w:t>型</w:t>
      </w:r>
      <w:r>
        <w:rPr>
          <w:rFonts w:hint="eastAsia" w:ascii="Times New Roman"/>
          <w:lang w:val="zh-CN"/>
        </w:rPr>
        <w:t>为无水</w:t>
      </w:r>
      <w:r>
        <w:rPr>
          <w:rFonts w:ascii="Times New Roman"/>
          <w:lang w:val="zh-CN"/>
        </w:rPr>
        <w:t>产品；</w:t>
      </w:r>
    </w:p>
    <w:p w14:paraId="0B79EE1B">
      <w:pPr>
        <w:pStyle w:val="50"/>
        <w:numPr>
          <w:ilvl w:val="0"/>
          <w:numId w:val="11"/>
        </w:numPr>
        <w:spacing w:line="276" w:lineRule="auto"/>
        <w:ind w:hanging="5"/>
        <w:rPr>
          <w:rFonts w:ascii="Times New Roman"/>
          <w:lang w:val="zh-CN"/>
        </w:rPr>
      </w:pPr>
      <w:r>
        <w:rPr>
          <w:rFonts w:hint="eastAsia" w:hAnsi="宋体"/>
          <w:lang w:val="zh-CN"/>
        </w:rPr>
        <w:t>Ⅱ</w:t>
      </w:r>
      <w:r>
        <w:rPr>
          <w:rFonts w:ascii="Times New Roman"/>
          <w:lang w:val="zh-CN"/>
        </w:rPr>
        <w:t>型</w:t>
      </w:r>
      <w:r>
        <w:rPr>
          <w:rFonts w:hint="eastAsia" w:ascii="Times New Roman"/>
          <w:lang w:val="zh-CN"/>
        </w:rPr>
        <w:t>为</w:t>
      </w:r>
      <w:r>
        <w:rPr>
          <w:rFonts w:hint="eastAsia" w:ascii="Times New Roman"/>
        </w:rPr>
        <w:t>三</w:t>
      </w:r>
      <w:r>
        <w:rPr>
          <w:rFonts w:hint="eastAsia" w:ascii="Times New Roman"/>
          <w:lang w:val="zh-CN"/>
        </w:rPr>
        <w:t>水</w:t>
      </w:r>
      <w:r>
        <w:rPr>
          <w:rFonts w:ascii="Times New Roman"/>
          <w:lang w:val="zh-CN"/>
        </w:rPr>
        <w:t>产品</w:t>
      </w:r>
      <w:r>
        <w:rPr>
          <w:rFonts w:hint="eastAsia" w:ascii="Times New Roman"/>
          <w:lang w:val="zh-CN"/>
        </w:rPr>
        <w:t>。</w:t>
      </w:r>
    </w:p>
    <w:p w14:paraId="3E2AEB10">
      <w:pPr>
        <w:pStyle w:val="47"/>
        <w:spacing w:before="312" w:after="312"/>
        <w:rPr>
          <w:snapToGrid w:val="0"/>
        </w:rPr>
      </w:pPr>
      <w:r>
        <w:rPr>
          <w:rFonts w:hint="eastAsia"/>
          <w:snapToGrid w:val="0"/>
        </w:rPr>
        <w:t>要求</w:t>
      </w:r>
    </w:p>
    <w:p w14:paraId="28C2C27A">
      <w:pPr>
        <w:pStyle w:val="44"/>
        <w:spacing w:before="156" w:after="156"/>
        <w:rPr>
          <w:rFonts w:hint="eastAsia" w:ascii="宋体" w:hAnsi="宋体" w:eastAsia="宋体"/>
          <w:snapToGrid w:val="0"/>
        </w:rPr>
      </w:pPr>
      <w:r>
        <w:rPr>
          <w:rFonts w:hint="eastAsia" w:ascii="宋体" w:hAnsi="宋体" w:eastAsia="宋体"/>
          <w:snapToGrid w:val="0"/>
        </w:rPr>
        <w:t>外观：</w:t>
      </w:r>
      <w:r>
        <w:rPr>
          <w:rFonts w:hint="eastAsia" w:ascii="Times New Roman" w:hAnsi="宋体" w:eastAsia="宋体"/>
          <w:snapToGrid w:val="0"/>
          <w:szCs w:val="20"/>
          <w:lang w:val="zh-CN"/>
        </w:rPr>
        <w:t>无色或白色晶体或颗粒。</w:t>
      </w:r>
    </w:p>
    <w:p w14:paraId="4CC5F3B5">
      <w:pPr>
        <w:pStyle w:val="44"/>
        <w:spacing w:before="156" w:after="156"/>
        <w:rPr>
          <w:rFonts w:hint="eastAsia" w:ascii="宋体" w:hAnsi="宋体" w:eastAsia="宋体"/>
          <w:snapToGrid w:val="0"/>
        </w:rPr>
      </w:pPr>
      <w:r>
        <w:rPr>
          <w:rFonts w:hint="eastAsia" w:ascii="宋体" w:hAnsi="宋体" w:eastAsia="宋体"/>
          <w:snapToGrid w:val="0"/>
        </w:rPr>
        <w:t>工业磷酸氢二钾按本文件规定的试验方法检测应符合</w:t>
      </w:r>
      <w:r>
        <w:rPr>
          <w:rFonts w:ascii="Times New Roman" w:hAnsi="宋体" w:eastAsia="宋体"/>
          <w:snapToGrid w:val="0"/>
        </w:rPr>
        <w:t>表</w:t>
      </w:r>
      <w:r>
        <w:rPr>
          <w:rFonts w:ascii="Times New Roman" w:eastAsia="宋体"/>
          <w:snapToGrid w:val="0"/>
        </w:rPr>
        <w:t>1</w:t>
      </w:r>
      <w:r>
        <w:rPr>
          <w:rFonts w:hint="eastAsia" w:ascii="Times New Roman" w:eastAsia="宋体"/>
          <w:snapToGrid w:val="0"/>
        </w:rPr>
        <w:t>的</w:t>
      </w:r>
      <w:r>
        <w:rPr>
          <w:rFonts w:hint="eastAsia" w:ascii="宋体" w:hAnsi="宋体" w:eastAsia="宋体"/>
          <w:snapToGrid w:val="0"/>
        </w:rPr>
        <w:t>规定。</w:t>
      </w:r>
    </w:p>
    <w:p w14:paraId="1ED3F178">
      <w:pPr>
        <w:pStyle w:val="47"/>
        <w:numPr>
          <w:ilvl w:val="0"/>
          <w:numId w:val="0"/>
        </w:numPr>
        <w:spacing w:before="312" w:after="312"/>
        <w:jc w:val="center"/>
        <w:rPr>
          <w:snapToGrid w:val="0"/>
        </w:rPr>
      </w:pPr>
      <w:r>
        <w:rPr>
          <w:rFonts w:hint="eastAsia"/>
          <w:snapToGrid w:val="0"/>
        </w:rPr>
        <w:t>表1</w:t>
      </w:r>
    </w:p>
    <w:tbl>
      <w:tblPr>
        <w:tblStyle w:val="34"/>
        <w:tblW w:w="508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1559"/>
        <w:gridCol w:w="2127"/>
        <w:gridCol w:w="241"/>
        <w:gridCol w:w="2886"/>
        <w:gridCol w:w="2748"/>
      </w:tblGrid>
      <w:tr w14:paraId="5C85F4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03" w:hRule="atLeast"/>
          <w:jc w:val="center"/>
        </w:trPr>
        <w:tc>
          <w:tcPr>
            <w:tcW w:w="2053" w:type="pct"/>
            <w:gridSpan w:val="3"/>
            <w:vMerge w:val="restart"/>
            <w:tcMar>
              <w:left w:w="28" w:type="dxa"/>
              <w:right w:w="28" w:type="dxa"/>
            </w:tcMar>
            <w:vAlign w:val="center"/>
          </w:tcPr>
          <w:p w14:paraId="3C26059B">
            <w:pPr>
              <w:jc w:val="center"/>
              <w:rPr>
                <w:sz w:val="18"/>
                <w:szCs w:val="18"/>
              </w:rPr>
            </w:pPr>
            <w:r>
              <w:rPr>
                <w:sz w:val="18"/>
                <w:szCs w:val="18"/>
              </w:rPr>
              <w:t>项</w:t>
            </w:r>
            <w:r>
              <w:rPr>
                <w:rFonts w:hint="eastAsia"/>
                <w:sz w:val="18"/>
                <w:szCs w:val="18"/>
              </w:rPr>
              <w:t xml:space="preserve">  </w:t>
            </w:r>
            <w:r>
              <w:rPr>
                <w:sz w:val="18"/>
                <w:szCs w:val="18"/>
              </w:rPr>
              <w:t>目</w:t>
            </w:r>
          </w:p>
        </w:tc>
        <w:tc>
          <w:tcPr>
            <w:tcW w:w="2946" w:type="pct"/>
            <w:gridSpan w:val="2"/>
            <w:tcBorders>
              <w:right w:val="single" w:color="auto" w:sz="4" w:space="0"/>
            </w:tcBorders>
            <w:tcMar>
              <w:left w:w="28" w:type="dxa"/>
              <w:right w:w="28" w:type="dxa"/>
            </w:tcMar>
            <w:vAlign w:val="center"/>
          </w:tcPr>
          <w:p w14:paraId="0062DD42">
            <w:pPr>
              <w:jc w:val="center"/>
              <w:rPr>
                <w:sz w:val="18"/>
                <w:szCs w:val="18"/>
              </w:rPr>
            </w:pPr>
            <w:r>
              <w:rPr>
                <w:sz w:val="18"/>
                <w:szCs w:val="18"/>
              </w:rPr>
              <w:t>指</w:t>
            </w:r>
            <w:r>
              <w:rPr>
                <w:rFonts w:hint="eastAsia"/>
                <w:sz w:val="18"/>
                <w:szCs w:val="18"/>
              </w:rPr>
              <w:t xml:space="preserve">  </w:t>
            </w:r>
            <w:r>
              <w:rPr>
                <w:sz w:val="18"/>
                <w:szCs w:val="18"/>
              </w:rPr>
              <w:t>标</w:t>
            </w:r>
          </w:p>
        </w:tc>
      </w:tr>
      <w:tr w14:paraId="4F0288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9" w:hRule="atLeast"/>
          <w:jc w:val="center"/>
        </w:trPr>
        <w:tc>
          <w:tcPr>
            <w:tcW w:w="2053" w:type="pct"/>
            <w:gridSpan w:val="3"/>
            <w:vMerge w:val="continue"/>
            <w:tcMar>
              <w:left w:w="28" w:type="dxa"/>
              <w:right w:w="28" w:type="dxa"/>
            </w:tcMar>
            <w:vAlign w:val="center"/>
          </w:tcPr>
          <w:p w14:paraId="63E7A5BF">
            <w:pPr>
              <w:jc w:val="center"/>
              <w:rPr>
                <w:sz w:val="18"/>
                <w:szCs w:val="18"/>
              </w:rPr>
            </w:pPr>
          </w:p>
        </w:tc>
        <w:tc>
          <w:tcPr>
            <w:tcW w:w="1509" w:type="pct"/>
            <w:tcBorders>
              <w:right w:val="single" w:color="auto" w:sz="4" w:space="0"/>
            </w:tcBorders>
            <w:tcMar>
              <w:left w:w="28" w:type="dxa"/>
              <w:right w:w="28" w:type="dxa"/>
            </w:tcMar>
            <w:vAlign w:val="center"/>
          </w:tcPr>
          <w:p w14:paraId="7CCBB158">
            <w:pPr>
              <w:spacing w:line="280" w:lineRule="exact"/>
              <w:jc w:val="center"/>
              <w:rPr>
                <w:sz w:val="18"/>
                <w:szCs w:val="18"/>
              </w:rPr>
            </w:pPr>
            <w:r>
              <w:rPr>
                <w:rFonts w:hint="eastAsia"/>
                <w:sz w:val="18"/>
                <w:szCs w:val="18"/>
              </w:rPr>
              <w:t>Ⅰ型</w:t>
            </w:r>
          </w:p>
        </w:tc>
        <w:tc>
          <w:tcPr>
            <w:tcW w:w="1437" w:type="pct"/>
            <w:tcBorders>
              <w:right w:val="single" w:color="auto" w:sz="4" w:space="0"/>
            </w:tcBorders>
            <w:tcMar>
              <w:left w:w="28" w:type="dxa"/>
              <w:right w:w="28" w:type="dxa"/>
            </w:tcMar>
          </w:tcPr>
          <w:p w14:paraId="36202AEC">
            <w:pPr>
              <w:spacing w:line="280" w:lineRule="exact"/>
              <w:jc w:val="center"/>
              <w:rPr>
                <w:sz w:val="18"/>
                <w:szCs w:val="18"/>
              </w:rPr>
            </w:pPr>
            <w:r>
              <w:rPr>
                <w:rFonts w:hint="eastAsia"/>
                <w:sz w:val="18"/>
                <w:szCs w:val="18"/>
              </w:rPr>
              <w:t>Ⅱ型</w:t>
            </w:r>
          </w:p>
        </w:tc>
      </w:tr>
      <w:tr w14:paraId="2D96C5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815" w:type="pct"/>
            <w:vMerge w:val="restart"/>
            <w:tcBorders>
              <w:right w:val="single" w:color="auto" w:sz="4" w:space="0"/>
            </w:tcBorders>
            <w:tcMar>
              <w:left w:w="28" w:type="dxa"/>
              <w:right w:w="28" w:type="dxa"/>
            </w:tcMar>
            <w:vAlign w:val="center"/>
          </w:tcPr>
          <w:p w14:paraId="3BCD388E">
            <w:pPr>
              <w:jc w:val="both"/>
              <w:rPr>
                <w:sz w:val="18"/>
                <w:szCs w:val="18"/>
              </w:rPr>
            </w:pPr>
            <w:r>
              <w:rPr>
                <w:sz w:val="18"/>
                <w:szCs w:val="18"/>
              </w:rPr>
              <w:t>磷酸氢二钾，</w:t>
            </w:r>
            <w:r>
              <w:rPr>
                <w:i/>
                <w:iCs/>
                <w:sz w:val="18"/>
                <w:szCs w:val="18"/>
              </w:rPr>
              <w:t>w</w:t>
            </w:r>
            <w:r>
              <w:rPr>
                <w:sz w:val="18"/>
                <w:szCs w:val="18"/>
              </w:rPr>
              <w:t>/%</w:t>
            </w:r>
          </w:p>
        </w:tc>
        <w:tc>
          <w:tcPr>
            <w:tcW w:w="1111" w:type="pct"/>
            <w:tcBorders>
              <w:left w:val="single" w:color="auto" w:sz="4" w:space="0"/>
              <w:right w:val="nil"/>
            </w:tcBorders>
            <w:tcMar>
              <w:left w:w="28" w:type="dxa"/>
              <w:right w:w="28" w:type="dxa"/>
            </w:tcMar>
            <w:vAlign w:val="center"/>
          </w:tcPr>
          <w:p w14:paraId="252B6B15">
            <w:pPr>
              <w:rPr>
                <w:rFonts w:hint="eastAsia"/>
                <w:sz w:val="18"/>
                <w:szCs w:val="18"/>
              </w:rPr>
            </w:pPr>
            <w:r>
              <w:rPr>
                <w:rFonts w:hint="eastAsia"/>
                <w:sz w:val="18"/>
                <w:szCs w:val="18"/>
              </w:rPr>
              <w:t>以K</w:t>
            </w:r>
            <w:r>
              <w:rPr>
                <w:rFonts w:hint="eastAsia"/>
                <w:sz w:val="18"/>
                <w:szCs w:val="18"/>
                <w:vertAlign w:val="subscript"/>
              </w:rPr>
              <w:t>2</w:t>
            </w:r>
            <w:r>
              <w:rPr>
                <w:sz w:val="18"/>
                <w:szCs w:val="18"/>
              </w:rPr>
              <w:t>HPO</w:t>
            </w:r>
            <w:r>
              <w:rPr>
                <w:sz w:val="18"/>
                <w:szCs w:val="18"/>
                <w:vertAlign w:val="subscript"/>
              </w:rPr>
              <w:t>4</w:t>
            </w:r>
            <w:r>
              <w:rPr>
                <w:rFonts w:hint="eastAsia"/>
                <w:sz w:val="18"/>
                <w:szCs w:val="18"/>
              </w:rPr>
              <w:t>计</w:t>
            </w:r>
          </w:p>
        </w:tc>
        <w:tc>
          <w:tcPr>
            <w:tcW w:w="126" w:type="pct"/>
            <w:tcBorders>
              <w:left w:val="nil"/>
            </w:tcBorders>
            <w:vAlign w:val="center"/>
          </w:tcPr>
          <w:p w14:paraId="57E05980">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1509" w:type="pct"/>
            <w:tcBorders>
              <w:right w:val="single" w:color="auto" w:sz="4" w:space="0"/>
            </w:tcBorders>
            <w:tcMar>
              <w:left w:w="28" w:type="dxa"/>
              <w:right w:w="28" w:type="dxa"/>
            </w:tcMar>
            <w:vAlign w:val="center"/>
          </w:tcPr>
          <w:p w14:paraId="41BB1567">
            <w:pPr>
              <w:jc w:val="center"/>
              <w:rPr>
                <w:sz w:val="18"/>
                <w:szCs w:val="18"/>
              </w:rPr>
            </w:pPr>
            <w:r>
              <w:rPr>
                <w:sz w:val="18"/>
                <w:szCs w:val="18"/>
              </w:rPr>
              <w:t>98.0</w:t>
            </w:r>
          </w:p>
        </w:tc>
        <w:tc>
          <w:tcPr>
            <w:tcW w:w="1437" w:type="pct"/>
            <w:tcBorders>
              <w:right w:val="single" w:color="auto" w:sz="4" w:space="0"/>
            </w:tcBorders>
            <w:vAlign w:val="center"/>
          </w:tcPr>
          <w:p w14:paraId="41AAD09A">
            <w:pPr>
              <w:jc w:val="center"/>
              <w:rPr>
                <w:rFonts w:hint="eastAsia"/>
                <w:sz w:val="18"/>
                <w:szCs w:val="18"/>
              </w:rPr>
            </w:pPr>
            <w:r>
              <w:rPr>
                <w:rFonts w:hint="eastAsia"/>
                <w:sz w:val="18"/>
                <w:szCs w:val="18"/>
                <w:lang w:val="en-US" w:eastAsia="zh-CN"/>
              </w:rPr>
              <w:t>-</w:t>
            </w:r>
          </w:p>
        </w:tc>
      </w:tr>
      <w:tr w14:paraId="6981BF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815" w:type="pct"/>
            <w:vMerge w:val="continue"/>
            <w:tcBorders>
              <w:right w:val="single" w:color="auto" w:sz="4" w:space="0"/>
            </w:tcBorders>
            <w:tcMar>
              <w:left w:w="28" w:type="dxa"/>
              <w:right w:w="28" w:type="dxa"/>
            </w:tcMar>
            <w:vAlign w:val="center"/>
          </w:tcPr>
          <w:p w14:paraId="7AFAD7F6">
            <w:pPr>
              <w:rPr>
                <w:sz w:val="18"/>
                <w:szCs w:val="18"/>
              </w:rPr>
            </w:pPr>
          </w:p>
        </w:tc>
        <w:tc>
          <w:tcPr>
            <w:tcW w:w="1111" w:type="pct"/>
            <w:tcBorders>
              <w:left w:val="single" w:color="auto" w:sz="4" w:space="0"/>
              <w:right w:val="nil"/>
            </w:tcBorders>
            <w:tcMar>
              <w:left w:w="28" w:type="dxa"/>
              <w:right w:w="28" w:type="dxa"/>
            </w:tcMar>
            <w:vAlign w:val="center"/>
          </w:tcPr>
          <w:p w14:paraId="2180A199">
            <w:pPr>
              <w:rPr>
                <w:sz w:val="18"/>
                <w:szCs w:val="18"/>
              </w:rPr>
            </w:pPr>
            <w:r>
              <w:rPr>
                <w:rFonts w:hint="eastAsia"/>
                <w:sz w:val="18"/>
                <w:szCs w:val="18"/>
              </w:rPr>
              <w:t>以K</w:t>
            </w:r>
            <w:r>
              <w:rPr>
                <w:rFonts w:hint="eastAsia"/>
                <w:sz w:val="18"/>
                <w:szCs w:val="18"/>
                <w:vertAlign w:val="subscript"/>
              </w:rPr>
              <w:t>2</w:t>
            </w:r>
            <w:r>
              <w:rPr>
                <w:sz w:val="18"/>
                <w:szCs w:val="18"/>
              </w:rPr>
              <w:t>HPO</w:t>
            </w:r>
            <w:r>
              <w:rPr>
                <w:sz w:val="18"/>
                <w:szCs w:val="18"/>
                <w:vertAlign w:val="subscript"/>
              </w:rPr>
              <w:t>4</w:t>
            </w:r>
            <w:r>
              <w:rPr>
                <w:rFonts w:hint="eastAsia" w:ascii="宋体" w:hAnsi="宋体"/>
                <w:sz w:val="18"/>
                <w:szCs w:val="18"/>
              </w:rPr>
              <w:t>·</w:t>
            </w:r>
            <w:r>
              <w:rPr>
                <w:rFonts w:hint="eastAsia"/>
                <w:sz w:val="18"/>
                <w:szCs w:val="18"/>
              </w:rPr>
              <w:t>3H</w:t>
            </w:r>
            <w:r>
              <w:rPr>
                <w:sz w:val="18"/>
                <w:szCs w:val="18"/>
                <w:vertAlign w:val="subscript"/>
              </w:rPr>
              <w:t>2</w:t>
            </w:r>
            <w:r>
              <w:rPr>
                <w:rFonts w:hint="eastAsia"/>
                <w:sz w:val="18"/>
                <w:szCs w:val="18"/>
              </w:rPr>
              <w:t>O计</w:t>
            </w:r>
          </w:p>
        </w:tc>
        <w:tc>
          <w:tcPr>
            <w:tcW w:w="126" w:type="pct"/>
            <w:tcBorders>
              <w:left w:val="nil"/>
            </w:tcBorders>
            <w:vAlign w:val="center"/>
          </w:tcPr>
          <w:p w14:paraId="65EC95FC">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1509" w:type="pct"/>
            <w:tcBorders>
              <w:right w:val="single" w:color="auto" w:sz="4" w:space="0"/>
            </w:tcBorders>
            <w:tcMar>
              <w:left w:w="28" w:type="dxa"/>
              <w:right w:w="28" w:type="dxa"/>
            </w:tcMar>
            <w:vAlign w:val="center"/>
          </w:tcPr>
          <w:p w14:paraId="34395AE4">
            <w:pPr>
              <w:jc w:val="center"/>
              <w:rPr>
                <w:rFonts w:hint="eastAsia"/>
                <w:sz w:val="18"/>
                <w:szCs w:val="18"/>
              </w:rPr>
            </w:pPr>
            <w:r>
              <w:rPr>
                <w:rFonts w:hint="eastAsia"/>
                <w:sz w:val="18"/>
                <w:szCs w:val="18"/>
                <w:lang w:val="en-US" w:eastAsia="zh-CN"/>
              </w:rPr>
              <w:t>-</w:t>
            </w:r>
          </w:p>
        </w:tc>
        <w:tc>
          <w:tcPr>
            <w:tcW w:w="1437" w:type="pct"/>
            <w:tcBorders>
              <w:right w:val="single" w:color="auto" w:sz="4" w:space="0"/>
            </w:tcBorders>
            <w:vAlign w:val="center"/>
          </w:tcPr>
          <w:p w14:paraId="63A1BE74">
            <w:pPr>
              <w:jc w:val="center"/>
              <w:rPr>
                <w:sz w:val="18"/>
                <w:szCs w:val="18"/>
              </w:rPr>
            </w:pPr>
            <w:r>
              <w:rPr>
                <w:rFonts w:hint="eastAsia"/>
                <w:sz w:val="18"/>
                <w:szCs w:val="18"/>
              </w:rPr>
              <w:t>98.0</w:t>
            </w:r>
          </w:p>
        </w:tc>
      </w:tr>
      <w:tr w14:paraId="4E2CCA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64312779">
            <w:pPr>
              <w:rPr>
                <w:sz w:val="18"/>
                <w:szCs w:val="18"/>
              </w:rPr>
            </w:pPr>
            <w:r>
              <w:rPr>
                <w:rFonts w:hint="eastAsia"/>
                <w:sz w:val="18"/>
                <w:szCs w:val="18"/>
              </w:rPr>
              <w:t>总磷（以P</w:t>
            </w:r>
            <w:r>
              <w:rPr>
                <w:sz w:val="18"/>
                <w:szCs w:val="18"/>
                <w:vertAlign w:val="subscript"/>
              </w:rPr>
              <w:t>2</w:t>
            </w:r>
            <w:r>
              <w:rPr>
                <w:rFonts w:hint="eastAsia"/>
                <w:sz w:val="18"/>
                <w:szCs w:val="18"/>
              </w:rPr>
              <w:t>O</w:t>
            </w:r>
            <w:r>
              <w:rPr>
                <w:sz w:val="18"/>
                <w:szCs w:val="18"/>
                <w:vertAlign w:val="subscript"/>
              </w:rPr>
              <w:t>5</w:t>
            </w:r>
            <w:r>
              <w:rPr>
                <w:rFonts w:hint="eastAsia"/>
                <w:sz w:val="18"/>
                <w:szCs w:val="18"/>
              </w:rPr>
              <w:t>计）</w:t>
            </w:r>
          </w:p>
        </w:tc>
        <w:tc>
          <w:tcPr>
            <w:tcW w:w="126" w:type="pct"/>
            <w:tcBorders>
              <w:left w:val="nil"/>
            </w:tcBorders>
            <w:vAlign w:val="center"/>
          </w:tcPr>
          <w:p w14:paraId="7689AE24">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1509" w:type="pct"/>
            <w:tcBorders>
              <w:right w:val="single" w:color="auto" w:sz="4" w:space="0"/>
            </w:tcBorders>
            <w:tcMar>
              <w:left w:w="28" w:type="dxa"/>
              <w:right w:w="28" w:type="dxa"/>
            </w:tcMar>
            <w:vAlign w:val="center"/>
          </w:tcPr>
          <w:p w14:paraId="77142EE8">
            <w:pPr>
              <w:jc w:val="center"/>
              <w:rPr>
                <w:sz w:val="18"/>
                <w:szCs w:val="18"/>
              </w:rPr>
            </w:pPr>
            <w:r>
              <w:rPr>
                <w:rFonts w:hint="eastAsia"/>
                <w:sz w:val="18"/>
                <w:szCs w:val="18"/>
              </w:rPr>
              <w:t>39.9</w:t>
            </w:r>
          </w:p>
        </w:tc>
        <w:tc>
          <w:tcPr>
            <w:tcW w:w="1437" w:type="pct"/>
            <w:tcBorders>
              <w:right w:val="single" w:color="auto" w:sz="4" w:space="0"/>
            </w:tcBorders>
            <w:vAlign w:val="center"/>
          </w:tcPr>
          <w:p w14:paraId="79F9EDFB">
            <w:pPr>
              <w:jc w:val="center"/>
              <w:rPr>
                <w:rFonts w:hint="eastAsia"/>
                <w:sz w:val="18"/>
                <w:szCs w:val="18"/>
              </w:rPr>
            </w:pPr>
            <w:r>
              <w:rPr>
                <w:rFonts w:hint="eastAsia"/>
                <w:sz w:val="18"/>
                <w:szCs w:val="18"/>
              </w:rPr>
              <w:t>30.</w:t>
            </w:r>
            <w:r>
              <w:rPr>
                <w:rFonts w:hint="eastAsia"/>
                <w:sz w:val="18"/>
                <w:szCs w:val="18"/>
                <w:lang w:eastAsia="zh-CN"/>
              </w:rPr>
              <w:t>4</w:t>
            </w:r>
          </w:p>
        </w:tc>
      </w:tr>
      <w:tr w14:paraId="64349E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5E404BDD">
            <w:pPr>
              <w:rPr>
                <w:sz w:val="18"/>
                <w:szCs w:val="18"/>
              </w:rPr>
            </w:pPr>
            <w:r>
              <w:rPr>
                <w:rFonts w:hint="eastAsia"/>
                <w:sz w:val="18"/>
                <w:szCs w:val="18"/>
              </w:rPr>
              <w:t>氧化钾（K</w:t>
            </w:r>
            <w:r>
              <w:rPr>
                <w:rFonts w:hint="eastAsia"/>
                <w:sz w:val="18"/>
                <w:szCs w:val="18"/>
                <w:vertAlign w:val="subscript"/>
              </w:rPr>
              <w:t>2</w:t>
            </w:r>
            <w:r>
              <w:rPr>
                <w:rFonts w:hint="eastAsia"/>
                <w:sz w:val="18"/>
                <w:szCs w:val="18"/>
              </w:rPr>
              <w:t>O）</w:t>
            </w:r>
            <w:r>
              <w:rPr>
                <w:sz w:val="18"/>
                <w:szCs w:val="18"/>
              </w:rPr>
              <w:t>，</w:t>
            </w:r>
            <w:r>
              <w:rPr>
                <w:i/>
                <w:iCs/>
                <w:sz w:val="18"/>
                <w:szCs w:val="18"/>
              </w:rPr>
              <w:t>w</w:t>
            </w:r>
            <w:r>
              <w:rPr>
                <w:sz w:val="18"/>
                <w:szCs w:val="18"/>
              </w:rPr>
              <w:t>/%</w:t>
            </w:r>
            <w:r>
              <w:rPr>
                <w:rFonts w:hint="eastAsia"/>
                <w:sz w:val="18"/>
                <w:szCs w:val="18"/>
              </w:rPr>
              <w:t xml:space="preserve">           </w:t>
            </w:r>
          </w:p>
        </w:tc>
        <w:tc>
          <w:tcPr>
            <w:tcW w:w="126" w:type="pct"/>
            <w:tcBorders>
              <w:left w:val="nil"/>
            </w:tcBorders>
            <w:vAlign w:val="center"/>
          </w:tcPr>
          <w:p w14:paraId="1DFEDECF">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1509" w:type="pct"/>
            <w:tcBorders>
              <w:right w:val="single" w:color="auto" w:sz="4" w:space="0"/>
            </w:tcBorders>
            <w:tcMar>
              <w:left w:w="28" w:type="dxa"/>
              <w:right w:w="28" w:type="dxa"/>
            </w:tcMar>
            <w:vAlign w:val="center"/>
          </w:tcPr>
          <w:p w14:paraId="3DC494A3">
            <w:pPr>
              <w:jc w:val="center"/>
              <w:rPr>
                <w:sz w:val="18"/>
                <w:szCs w:val="18"/>
              </w:rPr>
            </w:pPr>
            <w:r>
              <w:rPr>
                <w:rFonts w:hint="eastAsia"/>
                <w:sz w:val="18"/>
                <w:szCs w:val="18"/>
              </w:rPr>
              <w:t>52.9</w:t>
            </w:r>
          </w:p>
        </w:tc>
        <w:tc>
          <w:tcPr>
            <w:tcW w:w="1437" w:type="pct"/>
            <w:tcBorders>
              <w:right w:val="single" w:color="auto" w:sz="4" w:space="0"/>
            </w:tcBorders>
            <w:vAlign w:val="center"/>
          </w:tcPr>
          <w:p w14:paraId="46B940FB">
            <w:pPr>
              <w:jc w:val="center"/>
              <w:rPr>
                <w:sz w:val="18"/>
                <w:szCs w:val="18"/>
              </w:rPr>
            </w:pPr>
            <w:r>
              <w:rPr>
                <w:rFonts w:hint="eastAsia"/>
                <w:sz w:val="18"/>
                <w:szCs w:val="18"/>
              </w:rPr>
              <w:t>40.4</w:t>
            </w:r>
          </w:p>
        </w:tc>
      </w:tr>
      <w:tr w14:paraId="6D77BC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7" w:hRule="atLeast"/>
          <w:jc w:val="center"/>
        </w:trPr>
        <w:tc>
          <w:tcPr>
            <w:tcW w:w="1927" w:type="pct"/>
            <w:gridSpan w:val="2"/>
            <w:tcBorders>
              <w:right w:val="nil"/>
            </w:tcBorders>
            <w:tcMar>
              <w:left w:w="28" w:type="dxa"/>
              <w:right w:w="28" w:type="dxa"/>
            </w:tcMar>
            <w:vAlign w:val="center"/>
          </w:tcPr>
          <w:p w14:paraId="3C0C789A">
            <w:pPr>
              <w:rPr>
                <w:strike w:val="0"/>
                <w:color w:val="auto"/>
                <w:sz w:val="18"/>
                <w:szCs w:val="18"/>
              </w:rPr>
            </w:pPr>
            <w:r>
              <w:rPr>
                <w:strike w:val="0"/>
                <w:color w:val="auto"/>
                <w:sz w:val="18"/>
                <w:szCs w:val="18"/>
              </w:rPr>
              <w:t>干燥减量，</w:t>
            </w:r>
            <w:r>
              <w:rPr>
                <w:i/>
                <w:iCs/>
                <w:strike w:val="0"/>
                <w:color w:val="auto"/>
                <w:sz w:val="18"/>
                <w:szCs w:val="18"/>
              </w:rPr>
              <w:t>w</w:t>
            </w:r>
            <w:r>
              <w:rPr>
                <w:strike w:val="0"/>
                <w:color w:val="auto"/>
                <w:sz w:val="18"/>
                <w:szCs w:val="18"/>
              </w:rPr>
              <w:t>/％</w:t>
            </w:r>
            <w:r>
              <w:rPr>
                <w:rFonts w:hint="eastAsia"/>
                <w:strike w:val="0"/>
                <w:color w:val="auto"/>
                <w:sz w:val="18"/>
                <w:szCs w:val="18"/>
              </w:rPr>
              <w:t xml:space="preserve">             </w:t>
            </w:r>
            <w:r>
              <w:rPr>
                <w:strike w:val="0"/>
                <w:color w:val="auto"/>
                <w:sz w:val="18"/>
                <w:szCs w:val="18"/>
              </w:rPr>
              <w:t xml:space="preserve"> </w:t>
            </w:r>
          </w:p>
        </w:tc>
        <w:tc>
          <w:tcPr>
            <w:tcW w:w="126" w:type="pct"/>
            <w:tcBorders>
              <w:left w:val="nil"/>
            </w:tcBorders>
            <w:vAlign w:val="center"/>
          </w:tcPr>
          <w:p w14:paraId="7A8E9F05">
            <w:pPr>
              <w:rPr>
                <w:rFonts w:hint="eastAsia" w:asciiTheme="minorEastAsia" w:hAnsiTheme="minorEastAsia" w:eastAsiaTheme="minorEastAsia"/>
                <w:strike w:val="0"/>
                <w:color w:val="auto"/>
                <w:sz w:val="18"/>
                <w:szCs w:val="18"/>
              </w:rPr>
            </w:pPr>
          </w:p>
        </w:tc>
        <w:tc>
          <w:tcPr>
            <w:tcW w:w="1509" w:type="pct"/>
            <w:tcBorders>
              <w:right w:val="single" w:color="auto" w:sz="4" w:space="0"/>
            </w:tcBorders>
            <w:tcMar>
              <w:left w:w="28" w:type="dxa"/>
              <w:right w:w="28" w:type="dxa"/>
            </w:tcMar>
            <w:vAlign w:val="center"/>
          </w:tcPr>
          <w:p w14:paraId="24E113F8">
            <w:pPr>
              <w:jc w:val="center"/>
              <w:rPr>
                <w:strike w:val="0"/>
                <w:color w:val="auto"/>
                <w:sz w:val="18"/>
                <w:szCs w:val="18"/>
              </w:rPr>
            </w:pPr>
            <w:r>
              <w:rPr>
                <w:rFonts w:asciiTheme="minorEastAsia" w:hAnsiTheme="minorEastAsia" w:eastAsiaTheme="minorEastAsia"/>
                <w:strike w:val="0"/>
                <w:color w:val="auto"/>
                <w:sz w:val="18"/>
                <w:szCs w:val="18"/>
              </w:rPr>
              <w:t>≤</w:t>
            </w:r>
            <w:r>
              <w:rPr>
                <w:strike w:val="0"/>
                <w:color w:val="auto"/>
                <w:sz w:val="18"/>
                <w:szCs w:val="18"/>
              </w:rPr>
              <w:t>2.0</w:t>
            </w:r>
          </w:p>
        </w:tc>
        <w:tc>
          <w:tcPr>
            <w:tcW w:w="1437" w:type="pct"/>
            <w:tcBorders>
              <w:right w:val="single" w:color="auto" w:sz="4" w:space="0"/>
            </w:tcBorders>
            <w:tcMar>
              <w:left w:w="28" w:type="dxa"/>
              <w:right w:w="28" w:type="dxa"/>
            </w:tcMar>
            <w:vAlign w:val="center"/>
          </w:tcPr>
          <w:p w14:paraId="51EE7334">
            <w:pPr>
              <w:jc w:val="center"/>
              <w:rPr>
                <w:strike w:val="0"/>
                <w:color w:val="auto"/>
                <w:sz w:val="18"/>
                <w:szCs w:val="18"/>
              </w:rPr>
            </w:pPr>
            <w:r>
              <w:rPr>
                <w:strike w:val="0"/>
                <w:color w:val="auto"/>
                <w:sz w:val="18"/>
                <w:szCs w:val="18"/>
              </w:rPr>
              <w:t>22.0～26.0</w:t>
            </w:r>
          </w:p>
        </w:tc>
      </w:tr>
      <w:tr w14:paraId="376EEA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12C6A039">
            <w:pPr>
              <w:rPr>
                <w:sz w:val="18"/>
                <w:szCs w:val="18"/>
              </w:rPr>
            </w:pPr>
            <w:r>
              <w:rPr>
                <w:sz w:val="18"/>
                <w:szCs w:val="18"/>
              </w:rPr>
              <w:t>水不溶物，</w:t>
            </w:r>
            <w:r>
              <w:rPr>
                <w:i/>
                <w:iCs/>
                <w:sz w:val="18"/>
                <w:szCs w:val="18"/>
              </w:rPr>
              <w:t>w</w:t>
            </w:r>
            <w:r>
              <w:rPr>
                <w:sz w:val="18"/>
                <w:szCs w:val="18"/>
              </w:rPr>
              <w:t xml:space="preserve">/%           </w:t>
            </w:r>
            <w:r>
              <w:rPr>
                <w:rFonts w:hint="eastAsia"/>
                <w:sz w:val="18"/>
                <w:szCs w:val="18"/>
              </w:rPr>
              <w:t xml:space="preserve">             </w:t>
            </w:r>
          </w:p>
        </w:tc>
        <w:tc>
          <w:tcPr>
            <w:tcW w:w="126" w:type="pct"/>
            <w:tcBorders>
              <w:left w:val="nil"/>
            </w:tcBorders>
            <w:vAlign w:val="center"/>
          </w:tcPr>
          <w:p w14:paraId="4309E434">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1509" w:type="pct"/>
            <w:tcBorders>
              <w:right w:val="single" w:color="auto" w:sz="4" w:space="0"/>
            </w:tcBorders>
            <w:tcMar>
              <w:left w:w="28" w:type="dxa"/>
              <w:right w:w="28" w:type="dxa"/>
            </w:tcMar>
            <w:vAlign w:val="center"/>
          </w:tcPr>
          <w:p w14:paraId="7D641D05">
            <w:pPr>
              <w:jc w:val="center"/>
              <w:rPr>
                <w:sz w:val="18"/>
                <w:szCs w:val="18"/>
              </w:rPr>
            </w:pPr>
            <w:r>
              <w:rPr>
                <w:sz w:val="18"/>
                <w:szCs w:val="18"/>
              </w:rPr>
              <w:t>0.</w:t>
            </w:r>
            <w:r>
              <w:rPr>
                <w:rFonts w:hint="eastAsia"/>
                <w:sz w:val="18"/>
                <w:szCs w:val="18"/>
              </w:rPr>
              <w:t>0</w:t>
            </w:r>
            <w:r>
              <w:rPr>
                <w:sz w:val="18"/>
                <w:szCs w:val="18"/>
              </w:rPr>
              <w:t>2</w:t>
            </w:r>
          </w:p>
        </w:tc>
        <w:tc>
          <w:tcPr>
            <w:tcW w:w="1437" w:type="pct"/>
            <w:tcBorders>
              <w:right w:val="single" w:color="auto" w:sz="4" w:space="0"/>
            </w:tcBorders>
            <w:tcMar>
              <w:left w:w="28" w:type="dxa"/>
              <w:right w:w="28" w:type="dxa"/>
            </w:tcMar>
            <w:vAlign w:val="center"/>
          </w:tcPr>
          <w:p w14:paraId="0C37C4F7">
            <w:pPr>
              <w:jc w:val="center"/>
              <w:rPr>
                <w:sz w:val="18"/>
                <w:szCs w:val="18"/>
              </w:rPr>
            </w:pPr>
            <w:r>
              <w:rPr>
                <w:rFonts w:hint="eastAsia"/>
                <w:sz w:val="18"/>
                <w:szCs w:val="18"/>
              </w:rPr>
              <w:t>0.01</w:t>
            </w:r>
          </w:p>
        </w:tc>
      </w:tr>
      <w:tr w14:paraId="307C37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23DC7F5C">
            <w:pPr>
              <w:rPr>
                <w:sz w:val="18"/>
                <w:szCs w:val="18"/>
              </w:rPr>
            </w:pPr>
            <w:r>
              <w:rPr>
                <w:rFonts w:hint="eastAsia"/>
                <w:sz w:val="18"/>
                <w:szCs w:val="18"/>
              </w:rPr>
              <w:t>氯化物</w:t>
            </w:r>
            <w:r>
              <w:rPr>
                <w:sz w:val="18"/>
                <w:szCs w:val="18"/>
              </w:rPr>
              <w:t>（以</w:t>
            </w:r>
            <w:r>
              <w:rPr>
                <w:rFonts w:hint="eastAsia"/>
                <w:sz w:val="18"/>
                <w:szCs w:val="18"/>
              </w:rPr>
              <w:t>Cl</w:t>
            </w:r>
            <w:r>
              <w:rPr>
                <w:sz w:val="18"/>
                <w:szCs w:val="18"/>
              </w:rPr>
              <w:t>计），</w:t>
            </w:r>
            <w:r>
              <w:rPr>
                <w:i/>
                <w:iCs/>
                <w:sz w:val="18"/>
                <w:szCs w:val="18"/>
              </w:rPr>
              <w:t>w</w:t>
            </w:r>
            <w:r>
              <w:rPr>
                <w:sz w:val="18"/>
                <w:szCs w:val="18"/>
              </w:rPr>
              <w:t xml:space="preserve">/%             </w:t>
            </w:r>
            <w:r>
              <w:rPr>
                <w:rFonts w:hint="eastAsia"/>
                <w:sz w:val="18"/>
                <w:szCs w:val="18"/>
              </w:rPr>
              <w:t xml:space="preserve">     </w:t>
            </w:r>
          </w:p>
        </w:tc>
        <w:tc>
          <w:tcPr>
            <w:tcW w:w="126" w:type="pct"/>
            <w:tcBorders>
              <w:left w:val="nil"/>
            </w:tcBorders>
            <w:vAlign w:val="center"/>
          </w:tcPr>
          <w:p w14:paraId="5AF0713B">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1509" w:type="pct"/>
            <w:tcBorders>
              <w:right w:val="single" w:color="auto" w:sz="4" w:space="0"/>
            </w:tcBorders>
            <w:tcMar>
              <w:left w:w="28" w:type="dxa"/>
              <w:right w:w="28" w:type="dxa"/>
            </w:tcMar>
            <w:vAlign w:val="center"/>
          </w:tcPr>
          <w:p w14:paraId="3E1094B0">
            <w:pPr>
              <w:jc w:val="center"/>
              <w:rPr>
                <w:sz w:val="18"/>
                <w:szCs w:val="18"/>
              </w:rPr>
            </w:pPr>
            <w:r>
              <w:rPr>
                <w:rFonts w:hint="eastAsia"/>
                <w:sz w:val="18"/>
                <w:szCs w:val="18"/>
              </w:rPr>
              <w:t>0.05</w:t>
            </w:r>
          </w:p>
        </w:tc>
        <w:tc>
          <w:tcPr>
            <w:tcW w:w="1437" w:type="pct"/>
            <w:tcBorders>
              <w:right w:val="single" w:color="auto" w:sz="4" w:space="0"/>
            </w:tcBorders>
            <w:tcMar>
              <w:left w:w="28" w:type="dxa"/>
              <w:right w:w="28" w:type="dxa"/>
            </w:tcMar>
            <w:vAlign w:val="center"/>
          </w:tcPr>
          <w:p w14:paraId="66326D87">
            <w:pPr>
              <w:jc w:val="center"/>
              <w:rPr>
                <w:sz w:val="18"/>
                <w:szCs w:val="18"/>
              </w:rPr>
            </w:pPr>
            <w:r>
              <w:rPr>
                <w:rFonts w:hint="eastAsia"/>
                <w:sz w:val="18"/>
                <w:szCs w:val="18"/>
              </w:rPr>
              <w:t>0.04</w:t>
            </w:r>
          </w:p>
        </w:tc>
      </w:tr>
      <w:tr w14:paraId="7C947B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0DB9DBCC">
            <w:pPr>
              <w:rPr>
                <w:sz w:val="18"/>
                <w:szCs w:val="18"/>
              </w:rPr>
            </w:pPr>
            <w:r>
              <w:rPr>
                <w:rFonts w:hint="eastAsia"/>
                <w:sz w:val="18"/>
                <w:szCs w:val="18"/>
              </w:rPr>
              <w:t>铁</w:t>
            </w:r>
            <w:r>
              <w:rPr>
                <w:sz w:val="18"/>
                <w:szCs w:val="18"/>
              </w:rPr>
              <w:t>（</w:t>
            </w:r>
            <w:r>
              <w:rPr>
                <w:rFonts w:hint="eastAsia"/>
                <w:sz w:val="18"/>
                <w:szCs w:val="18"/>
              </w:rPr>
              <w:t>Fe</w:t>
            </w:r>
            <w:r>
              <w:rPr>
                <w:sz w:val="18"/>
                <w:szCs w:val="18"/>
              </w:rPr>
              <w:t>），</w:t>
            </w:r>
            <w:r>
              <w:rPr>
                <w:i/>
                <w:iCs/>
                <w:sz w:val="18"/>
                <w:szCs w:val="18"/>
              </w:rPr>
              <w:t>w</w:t>
            </w:r>
            <w:r>
              <w:rPr>
                <w:sz w:val="18"/>
                <w:szCs w:val="18"/>
              </w:rPr>
              <w:t xml:space="preserve">/%             </w:t>
            </w:r>
            <w:r>
              <w:rPr>
                <w:rFonts w:hint="eastAsia"/>
                <w:sz w:val="18"/>
                <w:szCs w:val="18"/>
              </w:rPr>
              <w:t xml:space="preserve">              </w:t>
            </w:r>
          </w:p>
        </w:tc>
        <w:tc>
          <w:tcPr>
            <w:tcW w:w="126" w:type="pct"/>
            <w:tcBorders>
              <w:left w:val="nil"/>
            </w:tcBorders>
            <w:vAlign w:val="center"/>
          </w:tcPr>
          <w:p w14:paraId="5800344B">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2946" w:type="pct"/>
            <w:gridSpan w:val="2"/>
            <w:tcBorders>
              <w:right w:val="single" w:color="auto" w:sz="4" w:space="0"/>
            </w:tcBorders>
            <w:tcMar>
              <w:left w:w="28" w:type="dxa"/>
              <w:right w:w="28" w:type="dxa"/>
            </w:tcMar>
            <w:vAlign w:val="center"/>
          </w:tcPr>
          <w:p w14:paraId="26092089">
            <w:pPr>
              <w:jc w:val="center"/>
              <w:rPr>
                <w:sz w:val="18"/>
                <w:szCs w:val="18"/>
              </w:rPr>
            </w:pPr>
            <w:r>
              <w:rPr>
                <w:rFonts w:hint="eastAsia"/>
                <w:sz w:val="18"/>
                <w:szCs w:val="18"/>
              </w:rPr>
              <w:t>0.003</w:t>
            </w:r>
          </w:p>
        </w:tc>
      </w:tr>
      <w:tr w14:paraId="2ADD7B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3CEA097C">
            <w:pPr>
              <w:rPr>
                <w:sz w:val="18"/>
                <w:szCs w:val="18"/>
              </w:rPr>
            </w:pPr>
            <w:r>
              <w:rPr>
                <w:sz w:val="18"/>
                <w:szCs w:val="18"/>
              </w:rPr>
              <w:t>砷（As），</w:t>
            </w:r>
            <w:r>
              <w:rPr>
                <w:i/>
                <w:iCs/>
                <w:sz w:val="18"/>
                <w:szCs w:val="18"/>
              </w:rPr>
              <w:t>w</w:t>
            </w:r>
            <w:r>
              <w:rPr>
                <w:sz w:val="18"/>
                <w:szCs w:val="18"/>
              </w:rPr>
              <w:t xml:space="preserve">/%            </w:t>
            </w:r>
            <w:r>
              <w:rPr>
                <w:rFonts w:hint="eastAsia"/>
                <w:sz w:val="18"/>
                <w:szCs w:val="18"/>
              </w:rPr>
              <w:t xml:space="preserve">               </w:t>
            </w:r>
          </w:p>
        </w:tc>
        <w:tc>
          <w:tcPr>
            <w:tcW w:w="126" w:type="pct"/>
            <w:tcBorders>
              <w:left w:val="nil"/>
            </w:tcBorders>
            <w:vAlign w:val="center"/>
          </w:tcPr>
          <w:p w14:paraId="49FAFE5D">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2946" w:type="pct"/>
            <w:gridSpan w:val="2"/>
            <w:tcBorders>
              <w:right w:val="single" w:color="auto" w:sz="4" w:space="0"/>
            </w:tcBorders>
            <w:tcMar>
              <w:left w:w="28" w:type="dxa"/>
              <w:right w:w="28" w:type="dxa"/>
            </w:tcMar>
            <w:vAlign w:val="center"/>
          </w:tcPr>
          <w:p w14:paraId="6145CDB3">
            <w:pPr>
              <w:jc w:val="center"/>
              <w:rPr>
                <w:sz w:val="18"/>
                <w:szCs w:val="18"/>
              </w:rPr>
            </w:pPr>
            <w:r>
              <w:rPr>
                <w:rFonts w:hint="eastAsia"/>
                <w:sz w:val="18"/>
                <w:szCs w:val="18"/>
              </w:rPr>
              <w:t>0.01</w:t>
            </w:r>
          </w:p>
        </w:tc>
      </w:tr>
      <w:tr w14:paraId="67F3FC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7DE5ECA3">
            <w:pPr>
              <w:rPr>
                <w:sz w:val="18"/>
                <w:szCs w:val="18"/>
              </w:rPr>
            </w:pPr>
            <w:r>
              <w:rPr>
                <w:sz w:val="18"/>
                <w:szCs w:val="18"/>
              </w:rPr>
              <w:t>重金属（以Pb计），</w:t>
            </w:r>
            <w:r>
              <w:rPr>
                <w:i/>
                <w:iCs/>
                <w:sz w:val="18"/>
                <w:szCs w:val="18"/>
              </w:rPr>
              <w:t>w</w:t>
            </w:r>
            <w:r>
              <w:rPr>
                <w:sz w:val="18"/>
                <w:szCs w:val="18"/>
              </w:rPr>
              <w:t xml:space="preserve">/%  </w:t>
            </w:r>
            <w:r>
              <w:rPr>
                <w:rFonts w:hint="eastAsia"/>
                <w:sz w:val="18"/>
                <w:szCs w:val="18"/>
              </w:rPr>
              <w:t xml:space="preserve">              </w:t>
            </w:r>
          </w:p>
        </w:tc>
        <w:tc>
          <w:tcPr>
            <w:tcW w:w="126" w:type="pct"/>
            <w:tcBorders>
              <w:left w:val="nil"/>
            </w:tcBorders>
            <w:vAlign w:val="center"/>
          </w:tcPr>
          <w:p w14:paraId="384958E2">
            <w:pPr>
              <w:rPr>
                <w:rFonts w:hint="eastAsia" w:asciiTheme="minorEastAsia" w:hAnsiTheme="minorEastAsia" w:eastAsiaTheme="minorEastAsia"/>
                <w:sz w:val="18"/>
                <w:szCs w:val="18"/>
              </w:rPr>
            </w:pPr>
            <w:r>
              <w:rPr>
                <w:rFonts w:asciiTheme="minorEastAsia" w:hAnsiTheme="minorEastAsia" w:eastAsiaTheme="minorEastAsia"/>
                <w:sz w:val="18"/>
                <w:szCs w:val="18"/>
              </w:rPr>
              <w:t>≤</w:t>
            </w:r>
          </w:p>
        </w:tc>
        <w:tc>
          <w:tcPr>
            <w:tcW w:w="2946" w:type="pct"/>
            <w:gridSpan w:val="2"/>
            <w:tcBorders>
              <w:right w:val="single" w:color="auto" w:sz="4" w:space="0"/>
            </w:tcBorders>
            <w:tcMar>
              <w:left w:w="28" w:type="dxa"/>
              <w:right w:w="28" w:type="dxa"/>
            </w:tcMar>
            <w:vAlign w:val="center"/>
          </w:tcPr>
          <w:p w14:paraId="4895BA5F">
            <w:pPr>
              <w:jc w:val="center"/>
              <w:rPr>
                <w:sz w:val="18"/>
                <w:szCs w:val="18"/>
              </w:rPr>
            </w:pPr>
            <w:r>
              <w:rPr>
                <w:rFonts w:hint="eastAsia"/>
                <w:sz w:val="18"/>
                <w:szCs w:val="18"/>
              </w:rPr>
              <w:t>0.005</w:t>
            </w:r>
          </w:p>
        </w:tc>
      </w:tr>
      <w:tr w14:paraId="5418A8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jc w:val="center"/>
        </w:trPr>
        <w:tc>
          <w:tcPr>
            <w:tcW w:w="1927" w:type="pct"/>
            <w:gridSpan w:val="2"/>
            <w:tcBorders>
              <w:right w:val="nil"/>
            </w:tcBorders>
            <w:tcMar>
              <w:left w:w="28" w:type="dxa"/>
              <w:right w:w="28" w:type="dxa"/>
            </w:tcMar>
            <w:vAlign w:val="center"/>
          </w:tcPr>
          <w:p w14:paraId="6ECAC2A6">
            <w:pPr>
              <w:rPr>
                <w:sz w:val="18"/>
                <w:szCs w:val="18"/>
              </w:rPr>
            </w:pPr>
            <w:r>
              <w:rPr>
                <w:sz w:val="18"/>
                <w:szCs w:val="18"/>
              </w:rPr>
              <w:t>pH（10</w:t>
            </w:r>
            <w:r>
              <w:rPr>
                <w:rFonts w:hint="eastAsia"/>
                <w:sz w:val="18"/>
                <w:szCs w:val="18"/>
                <w:lang w:val="en-US" w:eastAsia="zh-CN"/>
              </w:rPr>
              <w:t xml:space="preserve"> </w:t>
            </w:r>
            <w:r>
              <w:rPr>
                <w:sz w:val="18"/>
                <w:szCs w:val="18"/>
              </w:rPr>
              <w:t>g/L水溶液）</w:t>
            </w:r>
          </w:p>
        </w:tc>
        <w:tc>
          <w:tcPr>
            <w:tcW w:w="126" w:type="pct"/>
            <w:tcBorders>
              <w:left w:val="nil"/>
            </w:tcBorders>
            <w:vAlign w:val="center"/>
          </w:tcPr>
          <w:p w14:paraId="3F1A4120">
            <w:pPr>
              <w:rPr>
                <w:sz w:val="18"/>
                <w:szCs w:val="18"/>
              </w:rPr>
            </w:pPr>
          </w:p>
        </w:tc>
        <w:tc>
          <w:tcPr>
            <w:tcW w:w="2946" w:type="pct"/>
            <w:gridSpan w:val="2"/>
            <w:tcBorders>
              <w:right w:val="single" w:color="auto" w:sz="4" w:space="0"/>
            </w:tcBorders>
            <w:tcMar>
              <w:left w:w="28" w:type="dxa"/>
              <w:right w:w="28" w:type="dxa"/>
            </w:tcMar>
            <w:vAlign w:val="center"/>
          </w:tcPr>
          <w:p w14:paraId="0788535E">
            <w:pPr>
              <w:jc w:val="center"/>
              <w:rPr>
                <w:sz w:val="18"/>
                <w:szCs w:val="18"/>
              </w:rPr>
            </w:pPr>
            <w:r>
              <w:rPr>
                <w:sz w:val="18"/>
                <w:szCs w:val="18"/>
              </w:rPr>
              <w:t>9.0</w:t>
            </w:r>
            <w:r>
              <w:rPr>
                <w:rFonts w:asciiTheme="minorEastAsia" w:hAnsiTheme="minorEastAsia" w:eastAsiaTheme="minorEastAsia"/>
                <w:sz w:val="18"/>
                <w:szCs w:val="18"/>
              </w:rPr>
              <w:t>±</w:t>
            </w:r>
            <w:r>
              <w:rPr>
                <w:sz w:val="18"/>
                <w:szCs w:val="18"/>
              </w:rPr>
              <w:t>0.4</w:t>
            </w:r>
          </w:p>
        </w:tc>
      </w:tr>
    </w:tbl>
    <w:p w14:paraId="6AA0EB6B">
      <w:pPr>
        <w:pStyle w:val="47"/>
        <w:spacing w:before="312" w:after="312"/>
        <w:rPr>
          <w:snapToGrid w:val="0"/>
        </w:rPr>
      </w:pPr>
      <w:r>
        <w:rPr>
          <w:rFonts w:hint="eastAsia"/>
          <w:snapToGrid w:val="0"/>
        </w:rPr>
        <w:t xml:space="preserve">试验方法 </w:t>
      </w:r>
    </w:p>
    <w:p w14:paraId="16CD6452">
      <w:pPr>
        <w:pStyle w:val="24"/>
        <w:rPr>
          <w:rFonts w:hint="eastAsia" w:ascii="黑体" w:hAnsi="黑体" w:eastAsia="黑体"/>
          <w:snapToGrid w:val="0"/>
        </w:rPr>
      </w:pPr>
      <w:r>
        <w:rPr>
          <w:rFonts w:hint="eastAsia" w:ascii="黑体" w:hAnsi="黑体" w:eastAsia="黑体"/>
          <w:snapToGrid w:val="0"/>
        </w:rPr>
        <w:t>警示：本试验方法中使用的部分试剂具有毒性或腐蚀性，操作时须小心谨慎！必要时，需在通风橱中进行。如溅到皮肤或眼睛上应立即用水冲洗，严重者应立即就医。</w:t>
      </w:r>
    </w:p>
    <w:p w14:paraId="04E18165">
      <w:pPr>
        <w:pStyle w:val="44"/>
        <w:spacing w:before="156" w:after="156"/>
        <w:rPr>
          <w:snapToGrid w:val="0"/>
        </w:rPr>
      </w:pPr>
      <w:r>
        <w:rPr>
          <w:rFonts w:hint="eastAsia"/>
          <w:snapToGrid w:val="0"/>
        </w:rPr>
        <w:t>一般规定</w:t>
      </w:r>
    </w:p>
    <w:p w14:paraId="42CF98A0">
      <w:pPr>
        <w:pStyle w:val="47"/>
        <w:numPr>
          <w:ilvl w:val="0"/>
          <w:numId w:val="0"/>
        </w:numPr>
        <w:spacing w:beforeLines="0" w:afterLines="0" w:line="360" w:lineRule="exact"/>
        <w:ind w:firstLine="420" w:firstLineChars="200"/>
        <w:rPr>
          <w:rFonts w:hint="eastAsia" w:ascii="宋体" w:hAnsi="宋体" w:eastAsia="宋体" w:cs="宋体"/>
          <w:snapToGrid w:val="0"/>
        </w:rPr>
      </w:pPr>
      <w:r>
        <w:rPr>
          <w:rFonts w:hint="eastAsia" w:ascii="宋体" w:hAnsi="宋体" w:eastAsia="宋体" w:cs="宋体"/>
          <w:snapToGrid w:val="0"/>
        </w:rPr>
        <w:t>本文件所用试剂和水在没有注明其他要求时，均指分析纯试剂和</w:t>
      </w:r>
      <w:r>
        <w:rPr>
          <w:rFonts w:ascii="Times New Roman" w:eastAsia="宋体"/>
          <w:snapToGrid w:val="0"/>
        </w:rPr>
        <w:t>GB/T 6682—2008</w:t>
      </w:r>
      <w:r>
        <w:rPr>
          <w:rFonts w:hint="eastAsia" w:ascii="宋体" w:hAnsi="宋体" w:eastAsia="宋体" w:cs="宋体"/>
          <w:snapToGrid w:val="0"/>
        </w:rPr>
        <w:t>中规定的三级水。试验中所用杂质标准溶液、制剂及制品，在没有注明其他要求时，均按</w:t>
      </w:r>
      <w:r>
        <w:rPr>
          <w:rFonts w:ascii="Times New Roman" w:eastAsia="宋体"/>
          <w:snapToGrid w:val="0"/>
        </w:rPr>
        <w:t>HG/T 3696.2</w:t>
      </w:r>
      <w:r>
        <w:rPr>
          <w:rFonts w:hint="eastAsia" w:ascii="Times New Roman" w:hAnsi="宋体" w:eastAsia="宋体" w:cs="宋体"/>
          <w:snapToGrid w:val="0"/>
        </w:rPr>
        <w:t>、</w:t>
      </w:r>
      <w:r>
        <w:rPr>
          <w:rFonts w:ascii="Times New Roman" w:eastAsia="宋体"/>
          <w:snapToGrid w:val="0"/>
        </w:rPr>
        <w:t>HG/T 3696.3</w:t>
      </w:r>
      <w:r>
        <w:rPr>
          <w:rFonts w:hint="eastAsia" w:ascii="宋体" w:hAnsi="宋体" w:eastAsia="宋体" w:cs="宋体"/>
          <w:snapToGrid w:val="0"/>
        </w:rPr>
        <w:t>的规定制备。</w:t>
      </w:r>
    </w:p>
    <w:p w14:paraId="61133CBF">
      <w:pPr>
        <w:pStyle w:val="44"/>
        <w:spacing w:before="156" w:after="156"/>
        <w:rPr>
          <w:snapToGrid w:val="0"/>
        </w:rPr>
      </w:pPr>
      <w:r>
        <w:rPr>
          <w:rFonts w:hint="eastAsia"/>
          <w:snapToGrid w:val="0"/>
        </w:rPr>
        <w:t>外观检验</w:t>
      </w:r>
    </w:p>
    <w:p w14:paraId="07D76A98">
      <w:pPr>
        <w:pStyle w:val="24"/>
        <w:rPr>
          <w:rFonts w:hint="eastAsia" w:hAnsi="宋体" w:cs="宋体"/>
          <w:snapToGrid w:val="0"/>
        </w:rPr>
      </w:pPr>
      <w:r>
        <w:rPr>
          <w:rFonts w:hint="eastAsia" w:hAnsi="宋体" w:cs="宋体"/>
          <w:snapToGrid w:val="0"/>
        </w:rPr>
        <w:t>在自然光下，于白色衬底的表面皿或白瓷板上用目视法判定外观。</w:t>
      </w:r>
    </w:p>
    <w:p w14:paraId="46E6FA00">
      <w:pPr>
        <w:pStyle w:val="44"/>
        <w:spacing w:before="156" w:after="156"/>
        <w:rPr>
          <w:snapToGrid w:val="0"/>
        </w:rPr>
      </w:pPr>
      <w:r>
        <w:rPr>
          <w:snapToGrid w:val="0"/>
        </w:rPr>
        <w:t>磷酸氢二钾</w:t>
      </w:r>
      <w:r>
        <w:rPr>
          <w:rFonts w:hint="eastAsia"/>
          <w:snapToGrid w:val="0"/>
        </w:rPr>
        <w:t>含量的测定</w:t>
      </w:r>
    </w:p>
    <w:p w14:paraId="3250FA8D">
      <w:pPr>
        <w:pStyle w:val="53"/>
        <w:spacing w:before="156" w:after="156"/>
      </w:pPr>
      <w:r>
        <w:rPr>
          <w:rFonts w:hint="eastAsia"/>
          <w:lang w:eastAsia="zh-CN"/>
        </w:rPr>
        <w:t>原理</w:t>
      </w:r>
    </w:p>
    <w:p w14:paraId="6C9CF219">
      <w:pPr>
        <w:spacing w:line="300" w:lineRule="auto"/>
        <w:rPr>
          <w:rFonts w:hint="eastAsia" w:ascii="宋体" w:hAnsi="宋体"/>
          <w:snapToGrid w:val="0"/>
          <w:kern w:val="0"/>
        </w:rPr>
      </w:pPr>
      <w:r>
        <w:rPr>
          <w:rFonts w:hint="eastAsia" w:ascii="宋体" w:hAnsi="宋体" w:cs="宋体"/>
          <w:snapToGrid w:val="0"/>
          <w:kern w:val="0"/>
          <w:szCs w:val="20"/>
        </w:rPr>
        <w:t xml:space="preserve">    在酸性介质中，以喹钼柠酮沉淀剂将试验溶液中的磷酸根全部形成磷钼酸喹啉沉淀，沉淀经过滤、</w:t>
      </w:r>
      <w:r>
        <w:rPr>
          <w:rFonts w:hint="eastAsia" w:ascii="宋体" w:hAnsi="宋体"/>
          <w:snapToGrid w:val="0"/>
          <w:kern w:val="0"/>
        </w:rPr>
        <w:t>烘干、称量，计算得出试样的主含量。</w:t>
      </w:r>
    </w:p>
    <w:p w14:paraId="086B5325">
      <w:pPr>
        <w:pStyle w:val="48"/>
      </w:pPr>
      <w:r>
        <w:t>试剂或材料</w:t>
      </w:r>
    </w:p>
    <w:p w14:paraId="18EE672B">
      <w:pPr>
        <w:pStyle w:val="115"/>
        <w:rPr>
          <w:rFonts w:hint="default" w:ascii="宋体" w:hAnsi="Times New Roman" w:eastAsia="宋体" w:cs="Times New Roman"/>
          <w:lang w:val="zh-CN"/>
        </w:rPr>
      </w:pPr>
      <w:r>
        <w:rPr>
          <w:rFonts w:hint="default" w:ascii="宋体" w:hAnsi="Times New Roman" w:eastAsia="宋体" w:cs="Times New Roman"/>
          <w:lang w:val="zh-CN"/>
        </w:rPr>
        <w:t>盐酸溶液：1+1。</w:t>
      </w:r>
    </w:p>
    <w:p w14:paraId="428786DE">
      <w:pPr>
        <w:pStyle w:val="115"/>
        <w:rPr>
          <w:rFonts w:hint="default" w:ascii="宋体" w:hAnsi="Times New Roman" w:eastAsia="宋体" w:cs="Times New Roman"/>
          <w:lang w:val="zh-CN"/>
        </w:rPr>
      </w:pPr>
      <w:r>
        <w:rPr>
          <w:rFonts w:hint="default" w:ascii="宋体" w:hAnsi="Times New Roman" w:eastAsia="宋体" w:cs="Times New Roman"/>
          <w:lang w:val="zh-CN"/>
        </w:rPr>
        <w:t>硝酸溶液：1+1。</w:t>
      </w:r>
    </w:p>
    <w:p w14:paraId="19DA4257">
      <w:pPr>
        <w:pStyle w:val="115"/>
        <w:rPr>
          <w:rFonts w:hint="default" w:ascii="宋体" w:hAnsi="Times New Roman" w:eastAsia="宋体" w:cs="Times New Roman"/>
          <w:lang w:val="zh-CN"/>
        </w:rPr>
      </w:pPr>
      <w:r>
        <w:rPr>
          <w:rFonts w:hint="default" w:ascii="宋体" w:hAnsi="Times New Roman" w:eastAsia="宋体" w:cs="Times New Roman"/>
          <w:lang w:val="zh-CN"/>
        </w:rPr>
        <w:t>喹钼柠酮溶液。</w:t>
      </w:r>
    </w:p>
    <w:p w14:paraId="4A1871DB">
      <w:pPr>
        <w:pStyle w:val="48"/>
      </w:pPr>
      <w:r>
        <w:rPr>
          <w:rFonts w:hint="eastAsia"/>
        </w:rPr>
        <w:t>仪器设备</w:t>
      </w:r>
    </w:p>
    <w:p w14:paraId="4235E362">
      <w:pPr>
        <w:pStyle w:val="115"/>
        <w:rPr>
          <w:rFonts w:ascii="宋体" w:eastAsia="宋体"/>
          <w:lang w:val="zh-CN"/>
        </w:rPr>
      </w:pPr>
      <w:r>
        <w:rPr>
          <w:rFonts w:ascii="宋体" w:eastAsia="宋体"/>
          <w:lang w:val="zh-CN"/>
        </w:rPr>
        <w:t>玻璃砂坩埚：滤板孔径为5 μm～15 μm。</w:t>
      </w:r>
    </w:p>
    <w:p w14:paraId="193DCA2D">
      <w:pPr>
        <w:pStyle w:val="115"/>
        <w:rPr>
          <w:rFonts w:ascii="宋体" w:eastAsia="宋体"/>
          <w:lang w:val="zh-CN"/>
        </w:rPr>
      </w:pPr>
      <w:r>
        <w:rPr>
          <w:rFonts w:ascii="宋体" w:eastAsia="宋体"/>
          <w:lang w:val="zh-CN"/>
        </w:rPr>
        <w:t>电热恒温干燥箱：温度能控制在180℃±2℃。</w:t>
      </w:r>
    </w:p>
    <w:p w14:paraId="261AA070">
      <w:pPr>
        <w:pStyle w:val="48"/>
      </w:pPr>
      <w:r>
        <w:t>试验步骤</w:t>
      </w:r>
    </w:p>
    <w:p w14:paraId="67A99C69">
      <w:pPr>
        <w:pStyle w:val="53"/>
      </w:pPr>
      <w:r>
        <w:rPr>
          <w:rFonts w:hint="eastAsia"/>
        </w:rPr>
        <w:t>试验溶液的制备</w:t>
      </w:r>
    </w:p>
    <w:p w14:paraId="3BCAEA22">
      <w:pPr>
        <w:pStyle w:val="47"/>
        <w:numPr>
          <w:ilvl w:val="0"/>
          <w:numId w:val="0"/>
        </w:numPr>
        <w:spacing w:beforeLines="0" w:afterLines="0" w:line="360" w:lineRule="exact"/>
        <w:ind w:firstLine="420" w:firstLineChars="200"/>
        <w:rPr>
          <w:rFonts w:ascii="Times New Roman" w:eastAsia="宋体"/>
          <w:snapToGrid w:val="0"/>
        </w:rPr>
      </w:pPr>
      <w:r>
        <w:rPr>
          <w:rFonts w:ascii="Times New Roman" w:hAnsi="宋体" w:eastAsia="宋体"/>
          <w:snapToGrid w:val="0"/>
        </w:rPr>
        <w:t>称取约</w:t>
      </w:r>
      <w:r>
        <w:rPr>
          <w:rFonts w:ascii="Times New Roman" w:eastAsia="宋体"/>
          <w:snapToGrid w:val="0"/>
        </w:rPr>
        <w:t>1.0 g</w:t>
      </w:r>
      <w:r>
        <w:rPr>
          <w:rFonts w:ascii="Times New Roman" w:hAnsi="宋体" w:eastAsia="宋体"/>
          <w:snapToGrid w:val="0"/>
        </w:rPr>
        <w:t>试样，精确至</w:t>
      </w:r>
      <w:r>
        <w:rPr>
          <w:rFonts w:ascii="Times New Roman" w:eastAsia="宋体"/>
          <w:snapToGrid w:val="0"/>
        </w:rPr>
        <w:t>0.0002 g</w:t>
      </w:r>
      <w:r>
        <w:rPr>
          <w:rFonts w:ascii="Times New Roman" w:hAnsi="宋体" w:eastAsia="宋体"/>
          <w:snapToGrid w:val="0"/>
        </w:rPr>
        <w:t>。置于</w:t>
      </w:r>
      <w:r>
        <w:rPr>
          <w:rFonts w:ascii="Times New Roman" w:eastAsia="宋体"/>
          <w:snapToGrid w:val="0"/>
        </w:rPr>
        <w:t>100 mL</w:t>
      </w:r>
      <w:r>
        <w:rPr>
          <w:rFonts w:ascii="Times New Roman" w:hAnsi="宋体" w:eastAsia="宋体"/>
          <w:snapToGrid w:val="0"/>
        </w:rPr>
        <w:t>烧杯中，加</w:t>
      </w:r>
      <w:r>
        <w:rPr>
          <w:rFonts w:hint="eastAsia" w:ascii="Times New Roman" w:hAnsi="宋体" w:eastAsia="宋体"/>
          <w:snapToGrid w:val="0"/>
        </w:rPr>
        <w:t>50 mL</w:t>
      </w:r>
      <w:r>
        <w:rPr>
          <w:rFonts w:ascii="Times New Roman" w:hAnsi="宋体" w:eastAsia="宋体"/>
          <w:snapToGrid w:val="0"/>
        </w:rPr>
        <w:t>水</w:t>
      </w:r>
      <w:r>
        <w:rPr>
          <w:rFonts w:hint="eastAsia" w:ascii="Times New Roman" w:hAnsi="宋体" w:eastAsia="宋体"/>
          <w:snapToGrid w:val="0"/>
        </w:rPr>
        <w:t>和10mL盐酸溶液</w:t>
      </w:r>
      <w:r>
        <w:rPr>
          <w:rFonts w:ascii="Times New Roman" w:hAnsi="宋体" w:eastAsia="宋体"/>
          <w:snapToGrid w:val="0"/>
        </w:rPr>
        <w:t>溶解，</w:t>
      </w:r>
      <w:r>
        <w:rPr>
          <w:rFonts w:hint="eastAsia" w:ascii="Times New Roman" w:hAnsi="宋体" w:eastAsia="宋体"/>
          <w:snapToGrid w:val="0"/>
        </w:rPr>
        <w:t>全部</w:t>
      </w:r>
      <w:r>
        <w:rPr>
          <w:rFonts w:ascii="Times New Roman" w:hAnsi="宋体" w:eastAsia="宋体"/>
          <w:snapToGrid w:val="0"/>
        </w:rPr>
        <w:t>移入</w:t>
      </w:r>
      <w:r>
        <w:rPr>
          <w:rFonts w:hint="eastAsia" w:ascii="Times New Roman" w:hAnsi="宋体" w:eastAsia="宋体"/>
          <w:snapToGrid w:val="0"/>
        </w:rPr>
        <w:t>2</w:t>
      </w:r>
      <w:r>
        <w:rPr>
          <w:rFonts w:ascii="Times New Roman" w:eastAsia="宋体"/>
          <w:snapToGrid w:val="0"/>
        </w:rPr>
        <w:t>50 mL</w:t>
      </w:r>
      <w:r>
        <w:rPr>
          <w:rFonts w:hint="eastAsia" w:ascii="Times New Roman" w:eastAsia="宋体"/>
          <w:snapToGrid w:val="0"/>
        </w:rPr>
        <w:t>建议500</w:t>
      </w:r>
      <w:r>
        <w:rPr>
          <w:rFonts w:ascii="Times New Roman" w:hAnsi="宋体" w:eastAsia="宋体"/>
          <w:snapToGrid w:val="0"/>
        </w:rPr>
        <w:t>容量瓶中，用水稀释至刻度，摇匀</w:t>
      </w:r>
      <w:r>
        <w:rPr>
          <w:rFonts w:hint="eastAsia" w:ascii="Times New Roman" w:hAnsi="宋体" w:eastAsia="宋体"/>
          <w:snapToGrid w:val="0"/>
        </w:rPr>
        <w:t>。</w:t>
      </w:r>
      <w:r>
        <w:rPr>
          <w:rFonts w:ascii="Times New Roman" w:hAnsi="宋体" w:eastAsia="宋体"/>
          <w:snapToGrid w:val="0"/>
        </w:rPr>
        <w:t>干过滤后使用</w:t>
      </w:r>
      <w:r>
        <w:rPr>
          <w:rFonts w:ascii="Times New Roman" w:eastAsia="宋体"/>
          <w:snapToGrid w:val="0"/>
        </w:rPr>
        <w:t>(</w:t>
      </w:r>
      <w:r>
        <w:rPr>
          <w:rFonts w:ascii="Times New Roman" w:hAnsi="宋体" w:eastAsia="宋体"/>
          <w:snapToGrid w:val="0"/>
        </w:rPr>
        <w:t>弃去最初</w:t>
      </w:r>
      <w:r>
        <w:rPr>
          <w:rFonts w:ascii="Times New Roman" w:eastAsia="宋体"/>
          <w:snapToGrid w:val="0"/>
        </w:rPr>
        <w:t>20 mL</w:t>
      </w:r>
      <w:r>
        <w:rPr>
          <w:rFonts w:ascii="Times New Roman" w:hAnsi="宋体" w:eastAsia="宋体"/>
          <w:snapToGrid w:val="0"/>
        </w:rPr>
        <w:t>滤液</w:t>
      </w:r>
      <w:r>
        <w:rPr>
          <w:rFonts w:ascii="Times New Roman" w:eastAsia="宋体"/>
          <w:snapToGrid w:val="0"/>
        </w:rPr>
        <w:t>)</w:t>
      </w:r>
      <w:r>
        <w:rPr>
          <w:rFonts w:ascii="Times New Roman" w:hAnsi="宋体" w:eastAsia="宋体"/>
          <w:snapToGrid w:val="0"/>
        </w:rPr>
        <w:t>。</w:t>
      </w:r>
    </w:p>
    <w:p w14:paraId="73837025">
      <w:pPr>
        <w:pStyle w:val="53"/>
      </w:pPr>
      <w:r>
        <w:rPr>
          <w:rFonts w:hint="eastAsia"/>
        </w:rPr>
        <w:t>空白试验溶液的制备</w:t>
      </w:r>
    </w:p>
    <w:p w14:paraId="3E8CBFB9">
      <w:pPr>
        <w:spacing w:line="300" w:lineRule="auto"/>
        <w:rPr>
          <w:rFonts w:hint="eastAsia" w:ascii="宋体" w:hAnsi="宋体"/>
          <w:snapToGrid w:val="0"/>
          <w:kern w:val="0"/>
        </w:rPr>
      </w:pPr>
      <w:r>
        <w:rPr>
          <w:rFonts w:hint="eastAsia" w:ascii="宋体" w:hAnsi="宋体"/>
          <w:snapToGrid w:val="0"/>
          <w:kern w:val="0"/>
        </w:rPr>
        <w:t xml:space="preserve">    除不加试样外，其他加入的试剂量与试验溶液的制备完全相同，并与试样同时同样进行处理。</w:t>
      </w:r>
    </w:p>
    <w:p w14:paraId="643A86EE">
      <w:pPr>
        <w:pStyle w:val="53"/>
      </w:pPr>
      <w:r>
        <w:rPr>
          <w:rFonts w:hint="eastAsia"/>
        </w:rPr>
        <w:t>试验</w:t>
      </w:r>
    </w:p>
    <w:p w14:paraId="43581CA3">
      <w:pPr>
        <w:spacing w:line="360" w:lineRule="exact"/>
        <w:ind w:firstLine="420" w:firstLineChars="200"/>
        <w:rPr>
          <w:snapToGrid w:val="0"/>
          <w:kern w:val="0"/>
        </w:rPr>
      </w:pPr>
      <w:r>
        <w:rPr>
          <w:rFonts w:hAnsi="宋体"/>
          <w:snapToGrid w:val="0"/>
          <w:kern w:val="0"/>
        </w:rPr>
        <w:t>用移液管移取</w:t>
      </w:r>
      <w:r>
        <w:rPr>
          <w:rFonts w:hint="eastAsia"/>
          <w:snapToGrid w:val="0"/>
          <w:kern w:val="0"/>
        </w:rPr>
        <w:t xml:space="preserve">10 </w:t>
      </w:r>
      <w:r>
        <w:rPr>
          <w:snapToGrid w:val="0"/>
          <w:kern w:val="0"/>
        </w:rPr>
        <w:t>mL</w:t>
      </w:r>
      <w:r>
        <w:rPr>
          <w:rFonts w:hint="eastAsia"/>
          <w:snapToGrid w:val="0"/>
          <w:kern w:val="0"/>
        </w:rPr>
        <w:t>对应上面定容稀释体积，改为20mL</w:t>
      </w:r>
      <w:r>
        <w:rPr>
          <w:rFonts w:hAnsi="宋体"/>
          <w:snapToGrid w:val="0"/>
          <w:kern w:val="0"/>
        </w:rPr>
        <w:t>试验溶液和空白试验溶液分别置于</w:t>
      </w:r>
      <w:r>
        <w:rPr>
          <w:snapToGrid w:val="0"/>
          <w:kern w:val="0"/>
        </w:rPr>
        <w:t>250 mL</w:t>
      </w:r>
      <w:r>
        <w:rPr>
          <w:rFonts w:hAnsi="宋体"/>
          <w:snapToGrid w:val="0"/>
          <w:kern w:val="0"/>
        </w:rPr>
        <w:t>烧杯中，加</w:t>
      </w:r>
      <w:r>
        <w:rPr>
          <w:rFonts w:hint="eastAsia"/>
          <w:snapToGrid w:val="0"/>
          <w:kern w:val="0"/>
        </w:rPr>
        <w:t>10</w:t>
      </w:r>
      <w:r>
        <w:rPr>
          <w:snapToGrid w:val="0"/>
          <w:kern w:val="0"/>
        </w:rPr>
        <w:t>mL</w:t>
      </w:r>
      <w:r>
        <w:rPr>
          <w:rFonts w:hAnsi="宋体"/>
          <w:snapToGrid w:val="0"/>
          <w:kern w:val="0"/>
        </w:rPr>
        <w:t>硝酸溶液，加水至总体积约</w:t>
      </w:r>
      <w:r>
        <w:rPr>
          <w:snapToGrid w:val="0"/>
          <w:kern w:val="0"/>
        </w:rPr>
        <w:t>100 mL</w:t>
      </w:r>
      <w:r>
        <w:rPr>
          <w:rFonts w:hAnsi="宋体"/>
          <w:snapToGrid w:val="0"/>
          <w:kern w:val="0"/>
        </w:rPr>
        <w:t>，盖上表面皿，在水浴中加热至烧杯内的物质达到</w:t>
      </w:r>
      <w:r>
        <w:rPr>
          <w:snapToGrid w:val="0"/>
          <w:kern w:val="0"/>
        </w:rPr>
        <w:t>75℃</w:t>
      </w:r>
      <w:r>
        <w:rPr>
          <w:rFonts w:ascii="宋体" w:hAnsi="宋体"/>
          <w:snapToGrid w:val="0"/>
          <w:kern w:val="0"/>
        </w:rPr>
        <w:t>±</w:t>
      </w:r>
      <w:r>
        <w:rPr>
          <w:snapToGrid w:val="0"/>
          <w:kern w:val="0"/>
        </w:rPr>
        <w:t>5℃</w:t>
      </w:r>
      <w:r>
        <w:rPr>
          <w:rFonts w:hAnsi="宋体"/>
          <w:snapToGrid w:val="0"/>
          <w:kern w:val="0"/>
        </w:rPr>
        <w:t>，加入</w:t>
      </w:r>
      <w:r>
        <w:rPr>
          <w:snapToGrid w:val="0"/>
          <w:kern w:val="0"/>
        </w:rPr>
        <w:t>50 mL</w:t>
      </w:r>
      <w:r>
        <w:rPr>
          <w:rFonts w:hAnsi="宋体"/>
          <w:snapToGrid w:val="0"/>
          <w:kern w:val="0"/>
        </w:rPr>
        <w:t>喹钼柠酮溶液，保温</w:t>
      </w:r>
      <w:r>
        <w:rPr>
          <w:snapToGrid w:val="0"/>
          <w:kern w:val="0"/>
        </w:rPr>
        <w:t>30</w:t>
      </w:r>
      <w:r>
        <w:rPr>
          <w:rFonts w:hint="eastAsia"/>
          <w:snapToGrid w:val="0"/>
          <w:kern w:val="0"/>
        </w:rPr>
        <w:t xml:space="preserve"> </w:t>
      </w:r>
      <w:r>
        <w:rPr>
          <w:snapToGrid w:val="0"/>
          <w:kern w:val="0"/>
        </w:rPr>
        <w:t>s</w:t>
      </w:r>
      <w:r>
        <w:rPr>
          <w:rFonts w:hint="eastAsia"/>
          <w:snapToGrid w:val="0"/>
          <w:kern w:val="0"/>
        </w:rPr>
        <w:t>（</w:t>
      </w:r>
      <w:r>
        <w:rPr>
          <w:rFonts w:hAnsi="宋体"/>
          <w:snapToGrid w:val="0"/>
          <w:kern w:val="0"/>
        </w:rPr>
        <w:t>加热过程中不得使用明火，加入喹钼柠酮溶液</w:t>
      </w:r>
      <w:r>
        <w:rPr>
          <w:rFonts w:hint="eastAsia" w:hAnsi="宋体"/>
          <w:snapToGrid w:val="0"/>
          <w:kern w:val="0"/>
        </w:rPr>
        <w:t>后</w:t>
      </w:r>
      <w:r>
        <w:rPr>
          <w:rFonts w:hAnsi="宋体"/>
          <w:snapToGrid w:val="0"/>
          <w:kern w:val="0"/>
        </w:rPr>
        <w:t>不得搅拌，以免凝结成块</w:t>
      </w:r>
      <w:r>
        <w:rPr>
          <w:rFonts w:hint="eastAsia"/>
          <w:snapToGrid w:val="0"/>
          <w:kern w:val="0"/>
        </w:rPr>
        <w:t>）</w:t>
      </w:r>
      <w:r>
        <w:rPr>
          <w:rFonts w:hAnsi="宋体"/>
          <w:snapToGrid w:val="0"/>
          <w:kern w:val="0"/>
        </w:rPr>
        <w:t>，冷却。在冷却过程中搅拌</w:t>
      </w:r>
      <w:r>
        <w:rPr>
          <w:snapToGrid w:val="0"/>
          <w:kern w:val="0"/>
        </w:rPr>
        <w:t>3</w:t>
      </w:r>
      <w:r>
        <w:rPr>
          <w:rFonts w:hAnsi="宋体"/>
          <w:snapToGrid w:val="0"/>
          <w:kern w:val="0"/>
        </w:rPr>
        <w:t>次～</w:t>
      </w:r>
      <w:r>
        <w:rPr>
          <w:snapToGrid w:val="0"/>
          <w:kern w:val="0"/>
        </w:rPr>
        <w:t>4</w:t>
      </w:r>
      <w:r>
        <w:rPr>
          <w:rFonts w:hAnsi="宋体"/>
          <w:snapToGrid w:val="0"/>
          <w:kern w:val="0"/>
        </w:rPr>
        <w:t>次，用预先在</w:t>
      </w:r>
      <w:r>
        <w:rPr>
          <w:snapToGrid w:val="0"/>
          <w:kern w:val="0"/>
        </w:rPr>
        <w:t>180</w:t>
      </w:r>
      <w:r>
        <w:rPr>
          <w:rFonts w:hint="eastAsia"/>
          <w:snapToGrid w:val="0"/>
          <w:kern w:val="0"/>
          <w:lang w:val="en-US" w:eastAsia="zh-CN"/>
        </w:rPr>
        <w:t xml:space="preserve"> </w:t>
      </w:r>
      <w:r>
        <w:rPr>
          <w:snapToGrid w:val="0"/>
          <w:kern w:val="0"/>
        </w:rPr>
        <w:t>℃</w:t>
      </w:r>
      <w:r>
        <w:rPr>
          <w:rFonts w:ascii="宋体" w:hAnsi="宋体"/>
          <w:snapToGrid w:val="0"/>
          <w:kern w:val="0"/>
        </w:rPr>
        <w:t>±</w:t>
      </w:r>
      <w:r>
        <w:rPr>
          <w:rFonts w:hint="eastAsia"/>
          <w:snapToGrid w:val="0"/>
          <w:kern w:val="0"/>
        </w:rPr>
        <w:t xml:space="preserve">2 </w:t>
      </w:r>
      <w:r>
        <w:rPr>
          <w:snapToGrid w:val="0"/>
          <w:kern w:val="0"/>
        </w:rPr>
        <w:t>℃</w:t>
      </w:r>
      <w:r>
        <w:rPr>
          <w:rFonts w:hAnsi="宋体"/>
          <w:snapToGrid w:val="0"/>
          <w:kern w:val="0"/>
        </w:rPr>
        <w:t>下烘干至质量恒定的玻璃砂坩埚抽滤。先将上层清液过滤，以倾析法用洗瓶冲洗沉淀</w:t>
      </w:r>
      <w:r>
        <w:rPr>
          <w:snapToGrid w:val="0"/>
          <w:kern w:val="0"/>
        </w:rPr>
        <w:t>6</w:t>
      </w:r>
      <w:r>
        <w:rPr>
          <w:rFonts w:hAnsi="宋体"/>
          <w:snapToGrid w:val="0"/>
          <w:kern w:val="0"/>
        </w:rPr>
        <w:t>次，每次用水约</w:t>
      </w:r>
      <w:r>
        <w:rPr>
          <w:snapToGrid w:val="0"/>
          <w:kern w:val="0"/>
        </w:rPr>
        <w:t>30 mL</w:t>
      </w:r>
      <w:r>
        <w:rPr>
          <w:rFonts w:hAnsi="宋体"/>
          <w:snapToGrid w:val="0"/>
          <w:kern w:val="0"/>
        </w:rPr>
        <w:t>，最后将沉淀移入玻璃砂坩埚中过滤，再用水洗涤沉淀</w:t>
      </w:r>
      <w:r>
        <w:rPr>
          <w:snapToGrid w:val="0"/>
          <w:kern w:val="0"/>
        </w:rPr>
        <w:t>4</w:t>
      </w:r>
      <w:r>
        <w:rPr>
          <w:rFonts w:hAnsi="宋体"/>
          <w:snapToGrid w:val="0"/>
          <w:kern w:val="0"/>
        </w:rPr>
        <w:t>次，将玻璃砂坩埚连同沉淀置于电热恒温干燥箱中，从温度稳定时计时，在</w:t>
      </w:r>
      <w:r>
        <w:rPr>
          <w:snapToGrid w:val="0"/>
          <w:kern w:val="0"/>
        </w:rPr>
        <w:t>180℃</w:t>
      </w:r>
      <w:r>
        <w:rPr>
          <w:rFonts w:ascii="宋体" w:hAnsi="宋体"/>
          <w:snapToGrid w:val="0"/>
          <w:kern w:val="0"/>
        </w:rPr>
        <w:t>±</w:t>
      </w:r>
      <w:r>
        <w:rPr>
          <w:rFonts w:hint="eastAsia"/>
          <w:snapToGrid w:val="0"/>
          <w:kern w:val="0"/>
        </w:rPr>
        <w:t>2</w:t>
      </w:r>
      <w:r>
        <w:rPr>
          <w:snapToGrid w:val="0"/>
          <w:kern w:val="0"/>
        </w:rPr>
        <w:t>℃</w:t>
      </w:r>
      <w:r>
        <w:rPr>
          <w:rFonts w:hAnsi="宋体"/>
          <w:snapToGrid w:val="0"/>
          <w:kern w:val="0"/>
        </w:rPr>
        <w:t>下干燥</w:t>
      </w:r>
      <w:r>
        <w:rPr>
          <w:snapToGrid w:val="0"/>
          <w:kern w:val="0"/>
        </w:rPr>
        <w:t>45min</w:t>
      </w:r>
      <w:r>
        <w:rPr>
          <w:rFonts w:hAnsi="宋体"/>
          <w:snapToGrid w:val="0"/>
          <w:kern w:val="0"/>
        </w:rPr>
        <w:t>。取出稍冷后，置于干燥器中冷却至室温，称取质量。</w:t>
      </w:r>
    </w:p>
    <w:p w14:paraId="3E508EC2">
      <w:pPr>
        <w:pStyle w:val="48"/>
      </w:pPr>
      <w:r>
        <w:rPr>
          <w:rFonts w:hint="eastAsia"/>
        </w:rPr>
        <w:t>试验数据处理</w:t>
      </w:r>
    </w:p>
    <w:p w14:paraId="5146C1E5">
      <w:pPr>
        <w:spacing w:line="300" w:lineRule="auto"/>
        <w:ind w:firstLine="464" w:firstLineChars="221"/>
        <w:rPr>
          <w:snapToGrid w:val="0"/>
          <w:kern w:val="0"/>
        </w:rPr>
      </w:pPr>
      <w:r>
        <w:rPr>
          <w:rFonts w:hAnsi="宋体"/>
          <w:snapToGrid w:val="0"/>
          <w:kern w:val="0"/>
        </w:rPr>
        <w:t>磷酸氢二</w:t>
      </w:r>
      <w:r>
        <w:rPr>
          <w:rFonts w:hint="eastAsia" w:hAnsi="宋体"/>
          <w:snapToGrid w:val="0"/>
          <w:kern w:val="0"/>
        </w:rPr>
        <w:t>钾</w:t>
      </w:r>
      <w:r>
        <w:rPr>
          <w:rFonts w:hAnsi="宋体"/>
          <w:snapToGrid w:val="0"/>
          <w:kern w:val="0"/>
        </w:rPr>
        <w:t>含量以磷酸氢二</w:t>
      </w:r>
      <w:r>
        <w:rPr>
          <w:rFonts w:hint="eastAsia" w:hAnsi="宋体"/>
          <w:snapToGrid w:val="0"/>
          <w:kern w:val="0"/>
        </w:rPr>
        <w:t>钾</w:t>
      </w:r>
      <w:r>
        <w:rPr>
          <w:rFonts w:hint="eastAsia" w:hAnsi="宋体"/>
          <w:snapToGrid w:val="0"/>
          <w:kern w:val="0"/>
          <w:lang w:val="en-US" w:eastAsia="zh-CN"/>
        </w:rPr>
        <w:t>[</w:t>
      </w:r>
      <w:r>
        <w:rPr>
          <w:rFonts w:hint="eastAsia" w:hAnsi="宋体"/>
          <w:snapToGrid w:val="0"/>
          <w:kern w:val="0"/>
        </w:rPr>
        <w:t>K</w:t>
      </w:r>
      <w:r>
        <w:rPr>
          <w:rFonts w:hint="eastAsia" w:hAnsi="宋体"/>
          <w:snapToGrid w:val="0"/>
          <w:kern w:val="0"/>
          <w:vertAlign w:val="subscript"/>
        </w:rPr>
        <w:t>2</w:t>
      </w:r>
      <w:r>
        <w:rPr>
          <w:rFonts w:hAnsi="宋体"/>
          <w:snapToGrid w:val="0"/>
          <w:kern w:val="0"/>
        </w:rPr>
        <w:t>HPO</w:t>
      </w:r>
      <w:r>
        <w:rPr>
          <w:rFonts w:hAnsi="宋体"/>
          <w:snapToGrid w:val="0"/>
          <w:kern w:val="0"/>
          <w:vertAlign w:val="subscript"/>
        </w:rPr>
        <w:t>4</w:t>
      </w:r>
      <w:r>
        <w:rPr>
          <w:rFonts w:ascii="Times New Roman" w:eastAsiaTheme="minorEastAsia"/>
          <w:szCs w:val="15"/>
        </w:rPr>
        <w:t>•</w:t>
      </w:r>
      <w:r>
        <w:rPr>
          <w:rFonts w:hint="eastAsia" w:ascii="Times New Roman" w:eastAsiaTheme="minorEastAsia"/>
          <w:szCs w:val="15"/>
        </w:rPr>
        <w:t>n</w:t>
      </w:r>
      <w:r>
        <w:rPr>
          <w:rFonts w:ascii="Times New Roman" w:eastAsiaTheme="minorEastAsia"/>
          <w:szCs w:val="15"/>
        </w:rPr>
        <w:t>H</w:t>
      </w:r>
      <w:r>
        <w:rPr>
          <w:rFonts w:ascii="Times New Roman" w:eastAsiaTheme="minorEastAsia"/>
          <w:szCs w:val="15"/>
          <w:vertAlign w:val="subscript"/>
        </w:rPr>
        <w:t>2</w:t>
      </w:r>
      <w:r>
        <w:rPr>
          <w:rFonts w:ascii="Times New Roman" w:eastAsiaTheme="minorEastAsia"/>
          <w:szCs w:val="15"/>
        </w:rPr>
        <w:t>O</w:t>
      </w:r>
      <w:r>
        <w:rPr>
          <w:rFonts w:hint="eastAsia" w:hAnsi="宋体"/>
          <w:snapToGrid w:val="0"/>
          <w:kern w:val="0"/>
          <w:lang w:eastAsia="zh-CN"/>
        </w:rPr>
        <w:t>（</w:t>
      </w:r>
      <w:r>
        <w:rPr>
          <w:rFonts w:hint="eastAsia" w:hAnsi="宋体"/>
          <w:snapToGrid w:val="0"/>
          <w:kern w:val="0"/>
          <w:lang w:val="en-US" w:eastAsia="zh-CN"/>
        </w:rPr>
        <w:t>n=0或3</w:t>
      </w:r>
      <w:r>
        <w:rPr>
          <w:rFonts w:hint="eastAsia" w:hAnsi="宋体"/>
          <w:snapToGrid w:val="0"/>
          <w:kern w:val="0"/>
          <w:lang w:eastAsia="zh-CN"/>
        </w:rPr>
        <w:t>）</w:t>
      </w:r>
      <w:r>
        <w:rPr>
          <w:rFonts w:hint="eastAsia" w:hAnsi="宋体"/>
          <w:snapToGrid w:val="0"/>
          <w:kern w:val="0"/>
          <w:lang w:val="en-US" w:eastAsia="zh-CN"/>
        </w:rPr>
        <w:t>]</w:t>
      </w:r>
      <w:r>
        <w:rPr>
          <w:rFonts w:hint="eastAsia" w:hAnsi="宋体"/>
          <w:snapToGrid w:val="0"/>
          <w:kern w:val="0"/>
        </w:rPr>
        <w:t>计</w:t>
      </w:r>
      <w:r>
        <w:rPr>
          <w:rFonts w:hAnsi="宋体"/>
          <w:snapToGrid w:val="0"/>
          <w:kern w:val="0"/>
        </w:rPr>
        <w:t>的质量分数</w:t>
      </w:r>
      <w:r>
        <w:rPr>
          <w:i/>
          <w:iCs/>
          <w:snapToGrid w:val="0"/>
          <w:kern w:val="0"/>
        </w:rPr>
        <w:t>w</w:t>
      </w:r>
      <w:r>
        <w:rPr>
          <w:iCs/>
          <w:snapToGrid w:val="0"/>
          <w:kern w:val="0"/>
          <w:vertAlign w:val="subscript"/>
        </w:rPr>
        <w:t>1</w:t>
      </w:r>
      <w:r>
        <w:rPr>
          <w:rFonts w:hAnsi="宋体"/>
          <w:snapToGrid w:val="0"/>
          <w:kern w:val="0"/>
        </w:rPr>
        <w:t>计，按公式</w:t>
      </w:r>
      <w:r>
        <w:rPr>
          <w:rFonts w:hint="eastAsia"/>
          <w:snapToGrid w:val="0"/>
          <w:kern w:val="0"/>
        </w:rPr>
        <w:t>（1）</w:t>
      </w:r>
      <w:r>
        <w:rPr>
          <w:rFonts w:hAnsi="宋体"/>
          <w:snapToGrid w:val="0"/>
          <w:kern w:val="0"/>
        </w:rPr>
        <w:t>计算：</w:t>
      </w:r>
    </w:p>
    <w:p w14:paraId="4CA5FE9B">
      <w:pPr>
        <w:wordWrap w:val="0"/>
        <w:spacing w:line="300" w:lineRule="auto"/>
        <w:ind w:right="420"/>
        <w:jc w:val="right"/>
        <w:outlineLvl w:val="0"/>
        <w:rPr>
          <w:snapToGrid w:val="0"/>
          <w:kern w:val="0"/>
        </w:rPr>
      </w:pPr>
      <w:r>
        <w:rPr>
          <w:rFonts w:hint="eastAsia"/>
          <w:snapToGrid w:val="0"/>
          <w:kern w:val="0"/>
          <w:position w:val="-54"/>
        </w:rPr>
        <w:t xml:space="preserve">                              </w:t>
      </w:r>
      <w:r>
        <w:rPr>
          <w:snapToGrid w:val="0"/>
          <w:kern w:val="0"/>
          <w:position w:val="-30"/>
        </w:rPr>
        <w:object>
          <v:shape id="_x0000_i1025" o:spt="75" alt="" type="#_x0000_t75" style="height:31.9pt;width:116.65pt;" o:ole="t" filled="f" o:preferrelative="t" stroked="f" coordsize="21600,21600">
            <v:path/>
            <v:fill on="f" focussize="0,0"/>
            <v:stroke on="f"/>
            <v:imagedata r:id="rId7" o:title=""/>
            <o:lock v:ext="edit" aspectratio="t"/>
            <w10:wrap type="none"/>
            <w10:anchorlock/>
          </v:shape>
          <o:OLEObject Type="Embed" ProgID="Equation.3" ShapeID="_x0000_i1025" DrawAspect="Content" ObjectID="_1468075725" r:id="rId6">
            <o:LockedField>false</o:LockedField>
          </o:OLEObject>
        </w:object>
      </w:r>
      <w:r>
        <w:rPr>
          <w:rFonts w:ascii="宋体" w:hAnsi="宋体"/>
          <w:snapToGrid w:val="0"/>
          <w:kern w:val="0"/>
        </w:rPr>
        <w:t>………………………………</w:t>
      </w:r>
      <w:r>
        <w:rPr>
          <w:rFonts w:hAnsi="宋体"/>
          <w:snapToGrid w:val="0"/>
          <w:kern w:val="0"/>
        </w:rPr>
        <w:t>（</w:t>
      </w:r>
      <w:r>
        <w:rPr>
          <w:rFonts w:hint="eastAsia"/>
          <w:snapToGrid w:val="0"/>
          <w:kern w:val="0"/>
        </w:rPr>
        <w:t>1</w:t>
      </w:r>
      <w:r>
        <w:rPr>
          <w:rFonts w:hAnsi="宋体"/>
          <w:snapToGrid w:val="0"/>
          <w:kern w:val="0"/>
        </w:rPr>
        <w:t>）</w:t>
      </w:r>
    </w:p>
    <w:p w14:paraId="62641596">
      <w:pPr>
        <w:spacing w:line="300" w:lineRule="auto"/>
        <w:ind w:firstLine="420" w:firstLineChars="200"/>
        <w:rPr>
          <w:rFonts w:hint="eastAsia" w:ascii="宋体" w:hAnsi="宋体"/>
          <w:snapToGrid w:val="0"/>
          <w:kern w:val="0"/>
        </w:rPr>
      </w:pPr>
      <w:r>
        <w:rPr>
          <w:rFonts w:hint="eastAsia" w:ascii="宋体" w:hAnsi="宋体"/>
          <w:snapToGrid w:val="0"/>
          <w:kern w:val="0"/>
        </w:rPr>
        <w:t xml:space="preserve">式中：  </w:t>
      </w:r>
    </w:p>
    <w:p w14:paraId="3A40FA22">
      <w:pPr>
        <w:spacing w:line="300" w:lineRule="auto"/>
        <w:ind w:firstLine="420" w:firstLineChars="200"/>
        <w:rPr>
          <w:rFonts w:hint="eastAsia" w:ascii="宋体" w:hAnsi="宋体" w:eastAsia="黑体"/>
          <w:snapToGrid w:val="0"/>
          <w:kern w:val="0"/>
        </w:rPr>
      </w:pPr>
      <w:r>
        <w:rPr>
          <w:rFonts w:eastAsia="黑体"/>
          <w:i/>
          <w:snapToGrid w:val="0"/>
          <w:kern w:val="0"/>
        </w:rPr>
        <w:t>m</w:t>
      </w:r>
      <w:r>
        <w:rPr>
          <w:rFonts w:eastAsia="黑体"/>
          <w:snapToGrid w:val="0"/>
          <w:kern w:val="0"/>
          <w:vertAlign w:val="subscript"/>
        </w:rPr>
        <w:t>1</w:t>
      </w:r>
      <w:r>
        <w:rPr>
          <w:rFonts w:hint="eastAsia" w:ascii="宋体" w:hAnsi="宋体" w:eastAsia="黑体"/>
          <w:snapToGrid w:val="0"/>
          <w:kern w:val="0"/>
        </w:rPr>
        <w:t>——</w:t>
      </w:r>
      <w:r>
        <w:rPr>
          <w:rFonts w:hint="eastAsia" w:ascii="宋体" w:hAnsi="宋体"/>
          <w:snapToGrid w:val="0"/>
          <w:kern w:val="0"/>
        </w:rPr>
        <w:t>试验溶液中生成磷钼酸喹啉沉淀质量的数值，单位为克（</w:t>
      </w:r>
      <w:r>
        <w:rPr>
          <w:snapToGrid w:val="0"/>
          <w:kern w:val="0"/>
        </w:rPr>
        <w:t>g</w:t>
      </w:r>
      <w:r>
        <w:rPr>
          <w:rFonts w:hint="eastAsia" w:ascii="宋体" w:hAnsi="宋体"/>
          <w:snapToGrid w:val="0"/>
          <w:kern w:val="0"/>
        </w:rPr>
        <w:t>）；</w:t>
      </w:r>
    </w:p>
    <w:p w14:paraId="1C638AF9">
      <w:pPr>
        <w:spacing w:line="300" w:lineRule="auto"/>
        <w:ind w:firstLine="420" w:firstLineChars="200"/>
        <w:rPr>
          <w:rFonts w:hint="eastAsia" w:ascii="宋体" w:hAnsi="宋体" w:eastAsia="黑体"/>
          <w:snapToGrid w:val="0"/>
          <w:kern w:val="0"/>
        </w:rPr>
      </w:pPr>
      <w:r>
        <w:rPr>
          <w:rFonts w:hint="eastAsia" w:eastAsia="黑体"/>
          <w:i/>
          <w:iCs/>
          <w:snapToGrid w:val="0"/>
          <w:kern w:val="0"/>
          <w:vertAlign w:val="baseline"/>
          <w:lang w:val="en-US" w:eastAsia="zh-CN"/>
        </w:rPr>
        <w:t>m</w:t>
      </w:r>
      <w:r>
        <w:rPr>
          <w:rFonts w:hint="eastAsia" w:eastAsia="黑体"/>
          <w:snapToGrid w:val="0"/>
          <w:kern w:val="0"/>
          <w:vertAlign w:val="subscript"/>
          <w:lang w:val="en-US" w:eastAsia="zh-CN"/>
        </w:rPr>
        <w:t>0</w:t>
      </w:r>
      <w:r>
        <w:rPr>
          <w:rFonts w:hint="eastAsia" w:ascii="宋体" w:hAnsi="宋体" w:eastAsia="黑体"/>
          <w:snapToGrid w:val="0"/>
          <w:kern w:val="0"/>
        </w:rPr>
        <w:t>——</w:t>
      </w:r>
      <w:r>
        <w:rPr>
          <w:rFonts w:hint="eastAsia" w:ascii="宋体" w:hAnsi="宋体"/>
          <w:snapToGrid w:val="0"/>
          <w:kern w:val="0"/>
        </w:rPr>
        <w:t>空白试验溶液中生成磷钼酸喹啉沉淀质量的数值，单位为克（</w:t>
      </w:r>
      <w:r>
        <w:rPr>
          <w:snapToGrid w:val="0"/>
          <w:kern w:val="0"/>
        </w:rPr>
        <w:t>g</w:t>
      </w:r>
      <w:r>
        <w:rPr>
          <w:rFonts w:hint="eastAsia" w:ascii="宋体" w:hAnsi="宋体"/>
          <w:snapToGrid w:val="0"/>
          <w:kern w:val="0"/>
        </w:rPr>
        <w:t>）；</w:t>
      </w:r>
    </w:p>
    <w:p w14:paraId="0B4362BA">
      <w:pPr>
        <w:spacing w:line="300" w:lineRule="auto"/>
        <w:ind w:firstLine="420" w:firstLineChars="200"/>
        <w:rPr>
          <w:rFonts w:hint="eastAsia" w:ascii="宋体" w:hAnsi="宋体" w:eastAsia="宋体"/>
          <w:snapToGrid w:val="0"/>
          <w:kern w:val="0"/>
          <w:lang w:val="en-US" w:eastAsia="zh-CN"/>
        </w:rPr>
      </w:pPr>
      <w:r>
        <w:rPr>
          <w:rFonts w:hint="eastAsia" w:ascii="宋体" w:hAnsi="宋体" w:eastAsia="黑体"/>
          <w:i/>
          <w:iCs/>
          <w:snapToGrid w:val="0"/>
          <w:kern w:val="0"/>
          <w:lang w:val="en-US" w:eastAsia="zh-CN"/>
        </w:rPr>
        <w:t>k</w:t>
      </w:r>
      <w:r>
        <w:rPr>
          <w:rFonts w:hint="eastAsia" w:ascii="宋体" w:hAnsi="宋体" w:eastAsia="黑体"/>
          <w:snapToGrid w:val="0"/>
          <w:kern w:val="0"/>
        </w:rPr>
        <w:t>——</w:t>
      </w:r>
      <w:r>
        <w:rPr>
          <w:rFonts w:hint="eastAsia" w:ascii="宋体" w:hAnsi="宋体"/>
          <w:snapToGrid w:val="0"/>
          <w:kern w:val="0"/>
        </w:rPr>
        <w:t>磷钼酸喹啉换算成</w:t>
      </w:r>
      <w:r>
        <w:rPr>
          <w:rFonts w:hAnsi="宋体"/>
          <w:snapToGrid w:val="0"/>
          <w:kern w:val="0"/>
        </w:rPr>
        <w:t>磷酸氢二</w:t>
      </w:r>
      <w:r>
        <w:rPr>
          <w:rFonts w:hint="eastAsia" w:hAnsi="宋体"/>
          <w:snapToGrid w:val="0"/>
          <w:kern w:val="0"/>
        </w:rPr>
        <w:t>钾</w:t>
      </w:r>
      <w:r>
        <w:rPr>
          <w:rFonts w:hint="eastAsia" w:hAnsi="宋体"/>
          <w:snapToGrid w:val="0"/>
          <w:kern w:val="0"/>
          <w:lang w:eastAsia="zh-CN"/>
        </w:rPr>
        <w:t>（</w:t>
      </w:r>
      <w:r>
        <w:rPr>
          <w:rFonts w:hint="eastAsia" w:ascii="Times New Roman"/>
        </w:rPr>
        <w:t>K</w:t>
      </w:r>
      <w:r>
        <w:rPr>
          <w:rFonts w:hint="eastAsia" w:ascii="Times New Roman"/>
          <w:vertAlign w:val="subscript"/>
        </w:rPr>
        <w:t>2</w:t>
      </w:r>
      <w:r>
        <w:rPr>
          <w:rFonts w:ascii="Times New Roman"/>
        </w:rPr>
        <w:t>HPO</w:t>
      </w:r>
      <w:r>
        <w:rPr>
          <w:rFonts w:ascii="Times New Roman"/>
          <w:vertAlign w:val="subscript"/>
        </w:rPr>
        <w:t>4</w:t>
      </w:r>
      <w:r>
        <w:rPr>
          <w:rFonts w:ascii="Times New Roman" w:eastAsiaTheme="minorEastAsia"/>
          <w:szCs w:val="15"/>
        </w:rPr>
        <w:t>•</w:t>
      </w:r>
      <w:r>
        <w:rPr>
          <w:rFonts w:hint="eastAsia" w:ascii="Times New Roman" w:eastAsiaTheme="minorEastAsia"/>
          <w:szCs w:val="15"/>
        </w:rPr>
        <w:t>n</w:t>
      </w:r>
      <w:r>
        <w:rPr>
          <w:rFonts w:ascii="Times New Roman" w:eastAsiaTheme="minorEastAsia"/>
          <w:szCs w:val="15"/>
        </w:rPr>
        <w:t>H</w:t>
      </w:r>
      <w:r>
        <w:rPr>
          <w:rFonts w:ascii="Times New Roman" w:eastAsiaTheme="minorEastAsia"/>
          <w:szCs w:val="15"/>
          <w:vertAlign w:val="subscript"/>
        </w:rPr>
        <w:t>2</w:t>
      </w:r>
      <w:r>
        <w:rPr>
          <w:rFonts w:ascii="Times New Roman" w:eastAsiaTheme="minorEastAsia"/>
          <w:szCs w:val="15"/>
        </w:rPr>
        <w:t>O</w:t>
      </w:r>
      <w:r>
        <w:rPr>
          <w:rFonts w:hint="eastAsia" w:eastAsiaTheme="minorEastAsia"/>
          <w:szCs w:val="15"/>
          <w:lang w:eastAsia="zh-CN"/>
        </w:rPr>
        <w:t>）</w:t>
      </w:r>
      <w:r>
        <w:rPr>
          <w:rFonts w:hint="eastAsia" w:ascii="宋体" w:hAnsi="宋体"/>
          <w:snapToGrid w:val="0"/>
          <w:kern w:val="0"/>
        </w:rPr>
        <w:t>的系数</w:t>
      </w:r>
      <w:r>
        <w:rPr>
          <w:rFonts w:hint="eastAsia" w:ascii="宋体" w:hAnsi="宋体"/>
          <w:snapToGrid w:val="0"/>
          <w:kern w:val="0"/>
          <w:lang w:eastAsia="zh-CN"/>
        </w:rPr>
        <w:t>，</w:t>
      </w:r>
      <w:r>
        <w:rPr>
          <w:rFonts w:hint="eastAsia" w:eastAsiaTheme="minorEastAsia"/>
          <w:szCs w:val="15"/>
          <w:lang w:val="en-US" w:eastAsia="zh-CN"/>
        </w:rPr>
        <w:t>当</w:t>
      </w:r>
      <w:r>
        <w:rPr>
          <w:rFonts w:hint="eastAsia" w:ascii="Times New Roman" w:eastAsiaTheme="minorEastAsia"/>
          <w:szCs w:val="15"/>
        </w:rPr>
        <w:t>n=0</w:t>
      </w:r>
      <w:r>
        <w:rPr>
          <w:rFonts w:hint="eastAsia" w:eastAsiaTheme="minorEastAsia"/>
          <w:szCs w:val="15"/>
          <w:lang w:val="en-US" w:eastAsia="zh-CN"/>
        </w:rPr>
        <w:t>时，</w:t>
      </w:r>
      <w:r>
        <w:rPr>
          <w:rFonts w:hint="eastAsia" w:ascii="宋体" w:hAnsi="宋体"/>
          <w:i/>
          <w:iCs/>
          <w:snapToGrid w:val="0"/>
          <w:kern w:val="0"/>
          <w:lang w:val="en-US" w:eastAsia="zh-CN"/>
        </w:rPr>
        <w:t>k</w:t>
      </w:r>
      <w:r>
        <w:rPr>
          <w:rFonts w:hint="eastAsia" w:ascii="宋体" w:hAnsi="宋体"/>
          <w:snapToGrid w:val="0"/>
          <w:kern w:val="0"/>
          <w:lang w:val="en-US" w:eastAsia="zh-CN"/>
        </w:rPr>
        <w:t>=</w:t>
      </w:r>
      <w:r>
        <w:rPr>
          <w:rFonts w:eastAsia="黑体"/>
          <w:snapToGrid w:val="0"/>
          <w:kern w:val="0"/>
        </w:rPr>
        <w:t>0.0</w:t>
      </w:r>
      <w:r>
        <w:rPr>
          <w:rFonts w:hint="eastAsia" w:eastAsia="黑体"/>
          <w:snapToGrid w:val="0"/>
          <w:kern w:val="0"/>
        </w:rPr>
        <w:t>787</w:t>
      </w:r>
      <w:r>
        <w:rPr>
          <w:rFonts w:hint="eastAsia" w:ascii="宋体" w:hAnsi="宋体" w:eastAsia="黑体"/>
          <w:snapToGrid w:val="0"/>
          <w:kern w:val="0"/>
          <w:szCs w:val="21"/>
          <w:lang w:val="en-US" w:eastAsia="zh-CN"/>
        </w:rPr>
        <w:t>；</w:t>
      </w:r>
      <w:r>
        <w:rPr>
          <w:rFonts w:hint="eastAsia" w:eastAsiaTheme="minorEastAsia"/>
          <w:szCs w:val="15"/>
          <w:lang w:val="en-US" w:eastAsia="zh-CN"/>
        </w:rPr>
        <w:t>当</w:t>
      </w:r>
      <w:r>
        <w:rPr>
          <w:rFonts w:hint="eastAsia" w:ascii="Times New Roman" w:eastAsiaTheme="minorEastAsia"/>
          <w:szCs w:val="15"/>
        </w:rPr>
        <w:t>n=</w:t>
      </w:r>
      <w:r>
        <w:rPr>
          <w:rFonts w:hint="eastAsia" w:eastAsiaTheme="minorEastAsia"/>
          <w:szCs w:val="15"/>
          <w:lang w:val="en-US" w:eastAsia="zh-CN"/>
        </w:rPr>
        <w:t>3时</w:t>
      </w:r>
      <w:r>
        <w:rPr>
          <w:rFonts w:hint="eastAsia" w:ascii="宋体" w:hAnsi="宋体" w:eastAsia="黑体"/>
          <w:snapToGrid w:val="0"/>
          <w:kern w:val="0"/>
          <w:szCs w:val="21"/>
          <w:lang w:val="en-US" w:eastAsia="zh-CN"/>
        </w:rPr>
        <w:t>，</w:t>
      </w:r>
      <w:r>
        <w:rPr>
          <w:rFonts w:hint="eastAsia"/>
          <w:i/>
          <w:iCs/>
          <w:szCs w:val="21"/>
          <w:lang w:val="en-US" w:eastAsia="zh-CN"/>
        </w:rPr>
        <w:t>k</w:t>
      </w:r>
      <w:r>
        <w:rPr>
          <w:rFonts w:hint="eastAsia"/>
          <w:szCs w:val="21"/>
          <w:lang w:val="en-US" w:eastAsia="zh-CN"/>
        </w:rPr>
        <w:t>=0.1031；</w:t>
      </w:r>
    </w:p>
    <w:p w14:paraId="5F77257D">
      <w:pPr>
        <w:spacing w:line="300" w:lineRule="auto"/>
        <w:ind w:firstLine="435"/>
        <w:rPr>
          <w:rFonts w:hint="eastAsia" w:ascii="宋体" w:hAnsi="宋体" w:eastAsia="黑体"/>
          <w:snapToGrid w:val="0"/>
          <w:kern w:val="0"/>
        </w:rPr>
      </w:pPr>
      <w:r>
        <w:rPr>
          <w:rFonts w:hint="eastAsia" w:eastAsia="黑体"/>
          <w:i/>
          <w:snapToGrid w:val="0"/>
          <w:kern w:val="0"/>
        </w:rPr>
        <w:t>m</w:t>
      </w:r>
      <w:r>
        <w:rPr>
          <w:rFonts w:hint="eastAsia" w:eastAsia="黑体"/>
          <w:snapToGrid w:val="0"/>
          <w:kern w:val="0"/>
        </w:rPr>
        <w:t>——</w:t>
      </w:r>
      <w:r>
        <w:rPr>
          <w:rFonts w:hint="eastAsia" w:ascii="宋体" w:hAnsi="宋体"/>
          <w:snapToGrid w:val="0"/>
          <w:kern w:val="0"/>
        </w:rPr>
        <w:t>试料质量的数值，单位为克（</w:t>
      </w:r>
      <w:r>
        <w:rPr>
          <w:snapToGrid w:val="0"/>
          <w:kern w:val="0"/>
        </w:rPr>
        <w:t>g</w:t>
      </w:r>
      <w:r>
        <w:rPr>
          <w:rFonts w:hint="eastAsia" w:ascii="宋体" w:hAnsi="宋体"/>
          <w:snapToGrid w:val="0"/>
          <w:kern w:val="0"/>
        </w:rPr>
        <w:t>）。</w:t>
      </w:r>
    </w:p>
    <w:p w14:paraId="5765E334">
      <w:pPr>
        <w:pStyle w:val="24"/>
        <w:rPr>
          <w:rFonts w:hint="eastAsia" w:ascii="Times New Roman" w:hAnsi="宋体"/>
          <w:snapToGrid w:val="0"/>
        </w:rPr>
      </w:pPr>
      <w:r>
        <w:rPr>
          <w:rFonts w:ascii="Times New Roman" w:hAnsi="宋体"/>
          <w:snapToGrid w:val="0"/>
        </w:rPr>
        <w:t>取平行测定结果的算术平均值为测定结果。两次平行测定结果的绝对差值不大于</w:t>
      </w:r>
      <w:r>
        <w:rPr>
          <w:rFonts w:ascii="Times New Roman"/>
          <w:snapToGrid w:val="0"/>
        </w:rPr>
        <w:t>0.2</w:t>
      </w:r>
      <w:r>
        <w:rPr>
          <w:rFonts w:hint="eastAsia" w:ascii="Times New Roman" w:hAnsi="宋体"/>
          <w:snapToGrid w:val="0"/>
        </w:rPr>
        <w:t xml:space="preserve"> %</w:t>
      </w:r>
      <w:r>
        <w:rPr>
          <w:rFonts w:ascii="Times New Roman" w:hAnsi="宋体"/>
          <w:snapToGrid w:val="0"/>
        </w:rPr>
        <w:t>。</w:t>
      </w:r>
    </w:p>
    <w:p w14:paraId="3661F7DE">
      <w:pPr>
        <w:pStyle w:val="44"/>
        <w:spacing w:before="156" w:after="156" w:line="360" w:lineRule="exact"/>
        <w:rPr>
          <w:lang w:val="zh-CN"/>
        </w:rPr>
      </w:pPr>
      <w:r>
        <w:rPr>
          <w:rFonts w:hint="eastAsia"/>
          <w:lang w:val="zh-CN"/>
        </w:rPr>
        <w:t>氧化钾含量的测定</w:t>
      </w:r>
    </w:p>
    <w:p w14:paraId="1B8129F4">
      <w:pPr>
        <w:pStyle w:val="48"/>
        <w:spacing w:before="156" w:after="156"/>
        <w:rPr>
          <w:lang w:val="zh-CN"/>
        </w:rPr>
      </w:pPr>
      <w:r>
        <w:rPr>
          <w:rFonts w:hint="eastAsia"/>
          <w:lang w:eastAsia="zh-CN"/>
        </w:rPr>
        <w:t>原理</w:t>
      </w:r>
    </w:p>
    <w:p w14:paraId="52E5923C">
      <w:pPr>
        <w:autoSpaceDE w:val="0"/>
        <w:autoSpaceDN w:val="0"/>
        <w:adjustRightInd w:val="0"/>
        <w:spacing w:line="360" w:lineRule="exact"/>
        <w:rPr>
          <w:kern w:val="0"/>
          <w:szCs w:val="22"/>
          <w:lang w:val="zh-CN"/>
        </w:rPr>
      </w:pPr>
      <w:r>
        <w:rPr>
          <w:kern w:val="0"/>
          <w:szCs w:val="22"/>
          <w:lang w:val="zh-CN"/>
        </w:rPr>
        <w:t xml:space="preserve">   </w:t>
      </w:r>
      <w:r>
        <w:rPr>
          <w:rFonts w:hint="eastAsia"/>
          <w:kern w:val="0"/>
          <w:szCs w:val="22"/>
          <w:lang w:val="zh-CN"/>
        </w:rPr>
        <w:t xml:space="preserve"> 在弱碱性介质中，以四苯硼钠溶液沉淀试样中的钾离子。为了防止铵离子和其它阳离子干扰，预先加入适量的甲醛溶液及乙二胺四乙酸二钠盐</w:t>
      </w:r>
      <w:r>
        <w:rPr>
          <w:kern w:val="0"/>
          <w:szCs w:val="22"/>
          <w:lang w:val="zh-CN"/>
        </w:rPr>
        <w:t>（EDTA）</w:t>
      </w:r>
      <w:r>
        <w:rPr>
          <w:rFonts w:hint="eastAsia"/>
          <w:kern w:val="0"/>
          <w:szCs w:val="22"/>
          <w:lang w:val="zh-CN"/>
        </w:rPr>
        <w:t>使铵离子与甲醛反应生成六亚甲基四胺，其它阳离子与乙二胺四乙酸二钠络合。沉淀经过滤、干燥、称量，计算氧化钾含量。</w:t>
      </w:r>
    </w:p>
    <w:p w14:paraId="77761870">
      <w:pPr>
        <w:pStyle w:val="48"/>
        <w:spacing w:before="156" w:after="156"/>
      </w:pPr>
      <w:r>
        <w:rPr>
          <w:rFonts w:hint="eastAsia"/>
        </w:rPr>
        <w:t>试剂或材料</w:t>
      </w:r>
    </w:p>
    <w:p w14:paraId="03D2A920">
      <w:pPr>
        <w:pStyle w:val="115"/>
        <w:rPr>
          <w:rFonts w:ascii="Times New Roman"/>
        </w:rPr>
      </w:pPr>
      <w:r>
        <w:rPr>
          <w:rFonts w:ascii="Times New Roman"/>
        </w:rPr>
        <w:t>甲醛溶液。</w:t>
      </w:r>
    </w:p>
    <w:p w14:paraId="0B9561DA">
      <w:pPr>
        <w:pStyle w:val="115"/>
        <w:rPr>
          <w:rFonts w:ascii="Times New Roman"/>
        </w:rPr>
      </w:pPr>
      <w:r>
        <w:rPr>
          <w:rFonts w:ascii="Times New Roman"/>
        </w:rPr>
        <w:t>盐酸溶液：1+2。</w:t>
      </w:r>
    </w:p>
    <w:p w14:paraId="6237CE51">
      <w:pPr>
        <w:pStyle w:val="115"/>
        <w:rPr>
          <w:rFonts w:ascii="Times New Roman"/>
        </w:rPr>
      </w:pPr>
      <w:r>
        <w:rPr>
          <w:rFonts w:ascii="Times New Roman"/>
        </w:rPr>
        <w:t xml:space="preserve">四苯硼钠溶液：15 g/L； </w:t>
      </w:r>
    </w:p>
    <w:p w14:paraId="45FD8007">
      <w:pPr>
        <w:pStyle w:val="115"/>
        <w:rPr>
          <w:rFonts w:ascii="Times New Roman"/>
          <w:lang w:val="zh-CN"/>
        </w:rPr>
      </w:pPr>
      <w:r>
        <w:rPr>
          <w:rFonts w:ascii="Times New Roman"/>
          <w:lang w:val="zh-CN"/>
        </w:rPr>
        <w:t>四苯硼钠洗涤液：1.5 g/L。</w:t>
      </w:r>
    </w:p>
    <w:p w14:paraId="1A41AB9E">
      <w:pPr>
        <w:pStyle w:val="115"/>
        <w:rPr>
          <w:rFonts w:ascii="Times New Roman"/>
          <w:lang w:val="zh-CN"/>
        </w:rPr>
      </w:pPr>
      <w:r>
        <w:rPr>
          <w:rFonts w:ascii="Times New Roman"/>
          <w:lang w:val="zh-CN"/>
        </w:rPr>
        <w:t>乙二胺四乙酸二钠（EDTA）溶液：40 g/L。</w:t>
      </w:r>
    </w:p>
    <w:p w14:paraId="0F412BC0">
      <w:pPr>
        <w:pStyle w:val="115"/>
        <w:rPr>
          <w:rFonts w:ascii="Times New Roman"/>
          <w:lang w:val="zh-CN"/>
        </w:rPr>
      </w:pPr>
      <w:r>
        <w:rPr>
          <w:rFonts w:ascii="Times New Roman"/>
          <w:lang w:val="zh-CN"/>
        </w:rPr>
        <w:t>氢氧化钠溶液：400 g/L。</w:t>
      </w:r>
    </w:p>
    <w:p w14:paraId="6F261C06">
      <w:pPr>
        <w:pStyle w:val="115"/>
        <w:rPr>
          <w:rFonts w:ascii="Times New Roman"/>
          <w:lang w:val="zh-CN"/>
        </w:rPr>
      </w:pPr>
      <w:r>
        <w:rPr>
          <w:rFonts w:ascii="Times New Roman"/>
          <w:lang w:val="zh-CN"/>
        </w:rPr>
        <w:t>酚酞指示液：10 g/L。</w:t>
      </w:r>
    </w:p>
    <w:p w14:paraId="3EEF5F52">
      <w:pPr>
        <w:pStyle w:val="48"/>
        <w:spacing w:before="156" w:after="156"/>
      </w:pPr>
      <w:r>
        <w:rPr>
          <w:rFonts w:hint="eastAsia"/>
        </w:rPr>
        <w:t>仪器设备</w:t>
      </w:r>
    </w:p>
    <w:p w14:paraId="4F0F4B80">
      <w:pPr>
        <w:pStyle w:val="115"/>
        <w:rPr>
          <w:rFonts w:ascii="Times New Roman" w:eastAsia="宋体"/>
          <w:lang w:val="zh-CN"/>
        </w:rPr>
      </w:pPr>
      <w:r>
        <w:rPr>
          <w:rFonts w:hint="default" w:ascii="Times New Roman" w:eastAsia="宋体"/>
          <w:lang w:val="zh-CN"/>
        </w:rPr>
        <w:t>玻璃砂坩埚：滤板孔径为</w:t>
      </w:r>
      <w:r>
        <w:rPr>
          <w:rFonts w:ascii="Times New Roman" w:eastAsia="宋体"/>
          <w:lang w:val="zh-CN"/>
        </w:rPr>
        <w:t>5 μm～15 μm</w:t>
      </w:r>
      <w:r>
        <w:rPr>
          <w:rFonts w:hint="default" w:ascii="Times New Roman" w:eastAsia="宋体"/>
          <w:lang w:val="zh-CN"/>
        </w:rPr>
        <w:t>。</w:t>
      </w:r>
    </w:p>
    <w:p w14:paraId="169DD4B5">
      <w:pPr>
        <w:pStyle w:val="115"/>
        <w:rPr>
          <w:rFonts w:ascii="Times New Roman" w:eastAsia="宋体"/>
          <w:lang w:val="zh-CN"/>
        </w:rPr>
      </w:pPr>
      <w:r>
        <w:rPr>
          <w:rFonts w:hint="default" w:ascii="Times New Roman" w:eastAsia="宋体"/>
          <w:lang w:val="zh-CN"/>
        </w:rPr>
        <w:t>电热恒温干燥箱：能控制温度在</w:t>
      </w:r>
      <w:r>
        <w:rPr>
          <w:rFonts w:ascii="Times New Roman" w:eastAsia="宋体"/>
          <w:lang w:val="zh-CN"/>
        </w:rPr>
        <w:t>120</w:t>
      </w:r>
      <w:r>
        <w:rPr>
          <w:rFonts w:hint="default" w:ascii="Times New Roman" w:eastAsia="宋体"/>
          <w:lang w:val="zh-CN"/>
        </w:rPr>
        <w:t xml:space="preserve"> ℃</w:t>
      </w:r>
      <w:r>
        <w:rPr>
          <w:rFonts w:hint="eastAsia" w:asciiTheme="minorEastAsia" w:hAnsiTheme="minorEastAsia" w:eastAsiaTheme="minorEastAsia" w:cstheme="minorEastAsia"/>
          <w:lang w:val="zh-CN"/>
        </w:rPr>
        <w:t>±</w:t>
      </w:r>
      <w:r>
        <w:rPr>
          <w:rFonts w:ascii="Times New Roman" w:eastAsia="宋体"/>
          <w:lang w:val="zh-CN"/>
        </w:rPr>
        <w:t>5</w:t>
      </w:r>
      <w:r>
        <w:rPr>
          <w:rFonts w:hint="default" w:ascii="Times New Roman" w:eastAsia="宋体"/>
          <w:lang w:val="zh-CN"/>
        </w:rPr>
        <w:t xml:space="preserve"> ℃。</w:t>
      </w:r>
    </w:p>
    <w:p w14:paraId="40A8B46D">
      <w:pPr>
        <w:pStyle w:val="48"/>
        <w:spacing w:before="156" w:after="156"/>
      </w:pPr>
      <w:r>
        <w:rPr>
          <w:rFonts w:hint="eastAsia"/>
        </w:rPr>
        <w:t>试验步骤</w:t>
      </w:r>
    </w:p>
    <w:p w14:paraId="232C4231">
      <w:pPr>
        <w:pStyle w:val="53"/>
        <w:spacing w:before="156" w:after="156"/>
      </w:pPr>
      <w:r>
        <w:rPr>
          <w:rFonts w:hint="eastAsia"/>
        </w:rPr>
        <w:t>试验溶液的制备</w:t>
      </w:r>
    </w:p>
    <w:p w14:paraId="6CB819C0">
      <w:pPr>
        <w:autoSpaceDE w:val="0"/>
        <w:autoSpaceDN w:val="0"/>
        <w:adjustRightInd w:val="0"/>
        <w:spacing w:line="360" w:lineRule="exact"/>
        <w:ind w:firstLine="105" w:firstLineChars="50"/>
        <w:rPr>
          <w:kern w:val="0"/>
          <w:szCs w:val="23"/>
          <w:lang w:val="zh-CN"/>
        </w:rPr>
      </w:pPr>
      <w:r>
        <w:rPr>
          <w:kern w:val="0"/>
          <w:szCs w:val="23"/>
          <w:lang w:val="zh-CN"/>
        </w:rPr>
        <w:t xml:space="preserve">   </w:t>
      </w:r>
      <w:r>
        <w:rPr>
          <w:rFonts w:hint="eastAsia"/>
          <w:kern w:val="0"/>
          <w:szCs w:val="23"/>
          <w:lang w:val="zh-CN"/>
        </w:rPr>
        <w:t>称取约</w:t>
      </w:r>
      <w:r>
        <w:rPr>
          <w:kern w:val="0"/>
          <w:szCs w:val="23"/>
          <w:lang w:val="zh-CN"/>
        </w:rPr>
        <w:t>1</w:t>
      </w:r>
      <w:r>
        <w:rPr>
          <w:rFonts w:hint="eastAsia"/>
          <w:kern w:val="0"/>
          <w:szCs w:val="23"/>
          <w:lang w:val="zh-CN"/>
        </w:rPr>
        <w:t xml:space="preserve">.5 </w:t>
      </w:r>
      <w:r>
        <w:rPr>
          <w:kern w:val="0"/>
          <w:szCs w:val="23"/>
          <w:lang w:val="zh-CN"/>
        </w:rPr>
        <w:t>g</w:t>
      </w:r>
      <w:r>
        <w:rPr>
          <w:rFonts w:hint="eastAsia"/>
          <w:kern w:val="0"/>
          <w:szCs w:val="23"/>
          <w:lang w:val="zh-CN"/>
        </w:rPr>
        <w:t>试样，精确到</w:t>
      </w:r>
      <w:r>
        <w:rPr>
          <w:kern w:val="0"/>
          <w:szCs w:val="23"/>
          <w:lang w:val="zh-CN"/>
        </w:rPr>
        <w:t>0</w:t>
      </w:r>
      <w:r>
        <w:rPr>
          <w:rFonts w:hint="eastAsia"/>
          <w:kern w:val="0"/>
          <w:szCs w:val="23"/>
          <w:lang w:val="zh-CN"/>
        </w:rPr>
        <w:t>.</w:t>
      </w:r>
      <w:r>
        <w:rPr>
          <w:kern w:val="0"/>
          <w:szCs w:val="23"/>
          <w:lang w:val="zh-CN"/>
        </w:rPr>
        <w:t>000 2g</w:t>
      </w:r>
      <w:r>
        <w:rPr>
          <w:rFonts w:hint="eastAsia"/>
          <w:kern w:val="0"/>
          <w:szCs w:val="23"/>
          <w:lang w:val="zh-CN"/>
        </w:rPr>
        <w:t>，置于</w:t>
      </w:r>
      <w:r>
        <w:rPr>
          <w:kern w:val="0"/>
          <w:szCs w:val="23"/>
          <w:lang w:val="zh-CN"/>
        </w:rPr>
        <w:t>250</w:t>
      </w:r>
      <w:r>
        <w:rPr>
          <w:rFonts w:hint="eastAsia"/>
          <w:kern w:val="0"/>
          <w:szCs w:val="23"/>
          <w:lang w:val="zh-CN"/>
        </w:rPr>
        <w:t xml:space="preserve"> </w:t>
      </w:r>
      <w:r>
        <w:rPr>
          <w:kern w:val="0"/>
          <w:szCs w:val="23"/>
          <w:lang w:val="zh-CN"/>
        </w:rPr>
        <w:t>mL</w:t>
      </w:r>
      <w:r>
        <w:rPr>
          <w:rFonts w:hint="eastAsia"/>
          <w:kern w:val="0"/>
          <w:szCs w:val="23"/>
          <w:lang w:val="zh-CN"/>
        </w:rPr>
        <w:t>烧杯中，加约</w:t>
      </w:r>
      <w:r>
        <w:rPr>
          <w:kern w:val="0"/>
          <w:szCs w:val="23"/>
          <w:lang w:val="zh-CN"/>
        </w:rPr>
        <w:t>150</w:t>
      </w:r>
      <w:r>
        <w:rPr>
          <w:rFonts w:hint="eastAsia"/>
          <w:kern w:val="0"/>
          <w:szCs w:val="23"/>
          <w:lang w:val="zh-CN"/>
        </w:rPr>
        <w:t xml:space="preserve"> </w:t>
      </w:r>
      <w:r>
        <w:rPr>
          <w:kern w:val="0"/>
          <w:szCs w:val="23"/>
          <w:lang w:val="zh-CN"/>
        </w:rPr>
        <w:t>mL</w:t>
      </w:r>
      <w:r>
        <w:rPr>
          <w:rFonts w:hint="eastAsia"/>
          <w:kern w:val="0"/>
          <w:szCs w:val="23"/>
          <w:lang w:val="zh-CN"/>
        </w:rPr>
        <w:t>水，加热煮沸</w:t>
      </w:r>
      <w:r>
        <w:rPr>
          <w:kern w:val="0"/>
          <w:szCs w:val="23"/>
          <w:lang w:val="zh-CN"/>
        </w:rPr>
        <w:t>30</w:t>
      </w:r>
      <w:r>
        <w:rPr>
          <w:rFonts w:hint="eastAsia"/>
          <w:kern w:val="0"/>
          <w:szCs w:val="23"/>
          <w:lang w:val="zh-CN"/>
        </w:rPr>
        <w:t xml:space="preserve"> min，冷却，用盐酸溶液调节溶液为pH</w:t>
      </w:r>
      <w:r>
        <w:rPr>
          <w:rFonts w:hint="eastAsia" w:ascii="宋体" w:hAnsi="宋体"/>
          <w:kern w:val="0"/>
          <w:szCs w:val="23"/>
          <w:lang w:val="zh-CN"/>
        </w:rPr>
        <w:t>≈</w:t>
      </w:r>
      <w:r>
        <w:rPr>
          <w:rFonts w:hint="eastAsia"/>
          <w:kern w:val="0"/>
          <w:szCs w:val="23"/>
          <w:lang w:val="zh-CN"/>
        </w:rPr>
        <w:t>5（用pH试纸检验），转移至</w:t>
      </w:r>
      <w:r>
        <w:rPr>
          <w:kern w:val="0"/>
          <w:szCs w:val="23"/>
          <w:lang w:val="zh-CN"/>
        </w:rPr>
        <w:t>250</w:t>
      </w:r>
      <w:r>
        <w:rPr>
          <w:rFonts w:hint="eastAsia"/>
          <w:kern w:val="0"/>
          <w:szCs w:val="23"/>
          <w:lang w:val="zh-CN"/>
        </w:rPr>
        <w:t xml:space="preserve"> </w:t>
      </w:r>
      <w:r>
        <w:rPr>
          <w:kern w:val="0"/>
          <w:szCs w:val="23"/>
          <w:lang w:val="zh-CN"/>
        </w:rPr>
        <w:t>mL</w:t>
      </w:r>
      <w:r>
        <w:rPr>
          <w:rFonts w:hint="eastAsia"/>
          <w:kern w:val="0"/>
          <w:szCs w:val="23"/>
          <w:lang w:val="zh-CN"/>
        </w:rPr>
        <w:t>容量瓶中，用水稀释至刻度，摇匀。</w:t>
      </w:r>
    </w:p>
    <w:p w14:paraId="47926A2A">
      <w:pPr>
        <w:pStyle w:val="53"/>
        <w:spacing w:before="156" w:after="156"/>
      </w:pPr>
      <w:r>
        <w:rPr>
          <w:rFonts w:hint="eastAsia"/>
        </w:rPr>
        <w:t>空白试验溶液的制备</w:t>
      </w:r>
    </w:p>
    <w:p w14:paraId="75DC1F27">
      <w:pPr>
        <w:autoSpaceDE w:val="0"/>
        <w:autoSpaceDN w:val="0"/>
        <w:adjustRightInd w:val="0"/>
        <w:spacing w:line="360" w:lineRule="exact"/>
        <w:rPr>
          <w:rFonts w:ascii="黑体" w:eastAsia="黑体"/>
          <w:kern w:val="0"/>
          <w:szCs w:val="23"/>
          <w:lang w:val="zh-CN"/>
        </w:rPr>
      </w:pPr>
      <w:r>
        <w:rPr>
          <w:rFonts w:hint="eastAsia" w:ascii="黑体" w:eastAsia="黑体"/>
          <w:kern w:val="0"/>
          <w:szCs w:val="23"/>
          <w:lang w:val="zh-CN"/>
        </w:rPr>
        <w:t xml:space="preserve">    </w:t>
      </w:r>
      <w:r>
        <w:rPr>
          <w:rFonts w:hAnsi="宋体"/>
          <w:bCs/>
          <w:color w:val="000000"/>
        </w:rPr>
        <w:t>除不加试样外，其它加入的试剂量与试验溶液的制备完全相同，并与试样同时进行同样处理</w:t>
      </w:r>
      <w:r>
        <w:rPr>
          <w:rFonts w:hint="eastAsia"/>
          <w:bCs/>
          <w:color w:val="000000"/>
        </w:rPr>
        <w:t>。</w:t>
      </w:r>
    </w:p>
    <w:p w14:paraId="33C003A7">
      <w:pPr>
        <w:pStyle w:val="53"/>
        <w:spacing w:before="156" w:after="156"/>
      </w:pPr>
      <w:r>
        <w:rPr>
          <w:rFonts w:hint="eastAsia"/>
        </w:rPr>
        <w:t>试验</w:t>
      </w:r>
    </w:p>
    <w:p w14:paraId="4B209B9F">
      <w:pPr>
        <w:autoSpaceDE w:val="0"/>
        <w:autoSpaceDN w:val="0"/>
        <w:adjustRightInd w:val="0"/>
        <w:spacing w:line="360" w:lineRule="exact"/>
        <w:ind w:firstLine="105" w:firstLineChars="50"/>
        <w:rPr>
          <w:kern w:val="0"/>
          <w:szCs w:val="23"/>
          <w:lang w:val="zh-CN"/>
        </w:rPr>
      </w:pPr>
      <w:r>
        <w:rPr>
          <w:kern w:val="0"/>
          <w:szCs w:val="23"/>
          <w:lang w:val="zh-CN"/>
        </w:rPr>
        <w:t xml:space="preserve">   </w:t>
      </w:r>
      <w:r>
        <w:rPr>
          <w:rFonts w:hint="eastAsia"/>
          <w:kern w:val="0"/>
          <w:szCs w:val="23"/>
          <w:lang w:val="zh-CN"/>
        </w:rPr>
        <w:t>用移液管移取</w:t>
      </w:r>
      <w:r>
        <w:rPr>
          <w:kern w:val="0"/>
          <w:szCs w:val="23"/>
          <w:lang w:val="zh-CN"/>
        </w:rPr>
        <w:t>25</w:t>
      </w:r>
      <w:r>
        <w:rPr>
          <w:rFonts w:hint="eastAsia"/>
          <w:kern w:val="0"/>
          <w:szCs w:val="23"/>
          <w:lang w:val="zh-CN"/>
        </w:rPr>
        <w:t xml:space="preserve"> </w:t>
      </w:r>
      <w:r>
        <w:rPr>
          <w:kern w:val="0"/>
          <w:szCs w:val="23"/>
          <w:lang w:val="zh-CN"/>
        </w:rPr>
        <w:t>mL</w:t>
      </w:r>
      <w:r>
        <w:rPr>
          <w:rFonts w:hint="eastAsia"/>
          <w:kern w:val="0"/>
          <w:szCs w:val="23"/>
          <w:lang w:val="zh-CN"/>
        </w:rPr>
        <w:t>试验试液和空白试验溶液，分别置于</w:t>
      </w:r>
      <w:r>
        <w:rPr>
          <w:kern w:val="0"/>
          <w:szCs w:val="23"/>
          <w:lang w:val="zh-CN"/>
        </w:rPr>
        <w:t>2</w:t>
      </w:r>
      <w:r>
        <w:rPr>
          <w:rFonts w:hint="eastAsia"/>
          <w:kern w:val="0"/>
          <w:szCs w:val="23"/>
          <w:lang w:val="zh-CN"/>
        </w:rPr>
        <w:t>5</w:t>
      </w:r>
      <w:r>
        <w:rPr>
          <w:kern w:val="0"/>
          <w:szCs w:val="23"/>
          <w:lang w:val="zh-CN"/>
        </w:rPr>
        <w:t>0</w:t>
      </w:r>
      <w:r>
        <w:rPr>
          <w:rFonts w:hint="eastAsia"/>
          <w:kern w:val="0"/>
          <w:szCs w:val="23"/>
          <w:lang w:val="zh-CN"/>
        </w:rPr>
        <w:t xml:space="preserve"> </w:t>
      </w:r>
      <w:r>
        <w:rPr>
          <w:kern w:val="0"/>
          <w:szCs w:val="23"/>
          <w:lang w:val="zh-CN"/>
        </w:rPr>
        <w:t>mL</w:t>
      </w:r>
      <w:r>
        <w:rPr>
          <w:rFonts w:hint="eastAsia"/>
          <w:kern w:val="0"/>
          <w:szCs w:val="23"/>
          <w:lang w:val="zh-CN"/>
        </w:rPr>
        <w:t>烧杯中，加</w:t>
      </w:r>
      <w:r>
        <w:rPr>
          <w:kern w:val="0"/>
          <w:szCs w:val="23"/>
          <w:lang w:val="zh-CN"/>
        </w:rPr>
        <w:t>20</w:t>
      </w:r>
      <w:r>
        <w:rPr>
          <w:rFonts w:hint="eastAsia"/>
          <w:kern w:val="0"/>
          <w:szCs w:val="23"/>
          <w:lang w:val="zh-CN"/>
        </w:rPr>
        <w:t xml:space="preserve"> </w:t>
      </w:r>
      <w:r>
        <w:rPr>
          <w:kern w:val="0"/>
          <w:szCs w:val="23"/>
          <w:lang w:val="zh-CN"/>
        </w:rPr>
        <w:t>mL EDTA</w:t>
      </w:r>
      <w:r>
        <w:rPr>
          <w:rFonts w:hint="eastAsia"/>
          <w:kern w:val="0"/>
          <w:szCs w:val="23"/>
          <w:lang w:val="zh-CN"/>
        </w:rPr>
        <w:t>溶液</w:t>
      </w:r>
      <w:r>
        <w:rPr>
          <w:kern w:val="0"/>
          <w:szCs w:val="23"/>
          <w:lang w:val="zh-CN"/>
        </w:rPr>
        <w:t>（</w:t>
      </w:r>
      <w:r>
        <w:rPr>
          <w:rFonts w:hint="eastAsia"/>
          <w:kern w:val="0"/>
          <w:szCs w:val="23"/>
          <w:lang w:val="zh-CN"/>
        </w:rPr>
        <w:t>含阳离子较多时可加</w:t>
      </w:r>
      <w:r>
        <w:rPr>
          <w:kern w:val="0"/>
          <w:szCs w:val="23"/>
          <w:lang w:val="zh-CN"/>
        </w:rPr>
        <w:t>40</w:t>
      </w:r>
      <w:r>
        <w:rPr>
          <w:rFonts w:hint="eastAsia"/>
          <w:kern w:val="0"/>
          <w:szCs w:val="23"/>
          <w:lang w:val="zh-CN"/>
        </w:rPr>
        <w:t xml:space="preserve"> </w:t>
      </w:r>
      <w:r>
        <w:rPr>
          <w:kern w:val="0"/>
          <w:szCs w:val="23"/>
          <w:lang w:val="zh-CN"/>
        </w:rPr>
        <w:t>mL）</w:t>
      </w:r>
      <w:r>
        <w:rPr>
          <w:rFonts w:hint="eastAsia"/>
          <w:kern w:val="0"/>
          <w:szCs w:val="23"/>
          <w:lang w:val="zh-CN"/>
        </w:rPr>
        <w:t>，加2滴酚酞指示液，滴加氢氧化钠溶液至溶液刚出现红色，再过量</w:t>
      </w:r>
      <w:r>
        <w:rPr>
          <w:kern w:val="0"/>
          <w:szCs w:val="23"/>
          <w:lang w:val="zh-CN"/>
        </w:rPr>
        <w:t>l mL</w:t>
      </w:r>
      <w:r>
        <w:rPr>
          <w:rFonts w:hint="eastAsia"/>
          <w:kern w:val="0"/>
          <w:szCs w:val="23"/>
          <w:lang w:val="zh-CN"/>
        </w:rPr>
        <w:t>。加</w:t>
      </w:r>
      <w:r>
        <w:rPr>
          <w:kern w:val="0"/>
          <w:szCs w:val="23"/>
          <w:lang w:val="zh-CN"/>
        </w:rPr>
        <w:t>0</w:t>
      </w:r>
      <w:r>
        <w:rPr>
          <w:rFonts w:hint="eastAsia"/>
          <w:kern w:val="0"/>
          <w:szCs w:val="23"/>
          <w:lang w:val="zh-CN"/>
        </w:rPr>
        <w:t>.</w:t>
      </w:r>
      <w:r>
        <w:rPr>
          <w:kern w:val="0"/>
          <w:szCs w:val="23"/>
          <w:lang w:val="zh-CN"/>
        </w:rPr>
        <w:t>15</w:t>
      </w:r>
      <w:r>
        <w:rPr>
          <w:rFonts w:hint="eastAsia"/>
          <w:kern w:val="0"/>
          <w:szCs w:val="23"/>
          <w:lang w:val="zh-CN"/>
        </w:rPr>
        <w:t xml:space="preserve"> </w:t>
      </w:r>
      <w:r>
        <w:rPr>
          <w:kern w:val="0"/>
          <w:szCs w:val="23"/>
          <w:lang w:val="zh-CN"/>
        </w:rPr>
        <w:t>mL</w:t>
      </w:r>
      <w:r>
        <w:rPr>
          <w:rFonts w:hint="eastAsia"/>
          <w:kern w:val="0"/>
          <w:szCs w:val="23"/>
          <w:lang w:val="zh-CN"/>
        </w:rPr>
        <w:t>甲醛溶液，若红色消失，用氢氧化钠溶液调至红色。在通风橱内加热煮沸</w:t>
      </w:r>
      <w:r>
        <w:rPr>
          <w:kern w:val="0"/>
          <w:szCs w:val="23"/>
          <w:lang w:val="zh-CN"/>
        </w:rPr>
        <w:t>15</w:t>
      </w:r>
      <w:r>
        <w:rPr>
          <w:rFonts w:hint="eastAsia"/>
          <w:kern w:val="0"/>
          <w:szCs w:val="23"/>
          <w:lang w:val="zh-CN"/>
        </w:rPr>
        <w:t xml:space="preserve"> min，冷却，若红色消失，再用氢氧化钠溶液调至红色。</w:t>
      </w:r>
    </w:p>
    <w:p w14:paraId="0BF5257A">
      <w:pPr>
        <w:autoSpaceDE w:val="0"/>
        <w:autoSpaceDN w:val="0"/>
        <w:adjustRightInd w:val="0"/>
        <w:spacing w:line="360" w:lineRule="exact"/>
        <w:rPr>
          <w:kern w:val="0"/>
          <w:szCs w:val="23"/>
          <w:lang w:val="zh-CN"/>
        </w:rPr>
      </w:pPr>
      <w:r>
        <w:rPr>
          <w:kern w:val="0"/>
          <w:szCs w:val="23"/>
          <w:lang w:val="zh-CN"/>
        </w:rPr>
        <w:t xml:space="preserve">   </w:t>
      </w:r>
      <w:r>
        <w:rPr>
          <w:rFonts w:hint="eastAsia"/>
          <w:kern w:val="0"/>
          <w:szCs w:val="23"/>
          <w:lang w:val="zh-CN"/>
        </w:rPr>
        <w:t xml:space="preserve"> 在不断搅拌下，将37</w:t>
      </w:r>
      <w:r>
        <w:rPr>
          <w:kern w:val="0"/>
          <w:szCs w:val="23"/>
          <w:lang w:val="zh-CN"/>
        </w:rPr>
        <w:t xml:space="preserve"> mL</w:t>
      </w:r>
      <w:r>
        <w:rPr>
          <w:rFonts w:hint="eastAsia"/>
          <w:kern w:val="0"/>
          <w:szCs w:val="23"/>
          <w:lang w:val="zh-CN"/>
        </w:rPr>
        <w:t>四苯硼钠溶液逐滴加入试验溶液中，继续搅拌</w:t>
      </w:r>
      <w:r>
        <w:rPr>
          <w:kern w:val="0"/>
          <w:szCs w:val="23"/>
          <w:lang w:val="zh-CN"/>
        </w:rPr>
        <w:t>1</w:t>
      </w:r>
      <w:r>
        <w:rPr>
          <w:rFonts w:hint="eastAsia"/>
          <w:kern w:val="0"/>
          <w:szCs w:val="23"/>
          <w:lang w:val="zh-CN"/>
        </w:rPr>
        <w:t xml:space="preserve"> min，静置</w:t>
      </w:r>
      <w:r>
        <w:rPr>
          <w:kern w:val="0"/>
          <w:szCs w:val="23"/>
          <w:lang w:val="zh-CN"/>
        </w:rPr>
        <w:t>15</w:t>
      </w:r>
      <w:r>
        <w:rPr>
          <w:rFonts w:hint="eastAsia"/>
          <w:kern w:val="0"/>
          <w:szCs w:val="23"/>
          <w:lang w:val="zh-CN"/>
        </w:rPr>
        <w:t xml:space="preserve"> min，用倾泻法将沉淀转移至已预先于</w:t>
      </w:r>
      <w:r>
        <w:rPr>
          <w:kern w:val="0"/>
          <w:szCs w:val="23"/>
          <w:lang w:val="zh-CN"/>
        </w:rPr>
        <w:t>120</w:t>
      </w:r>
      <w:r>
        <w:rPr>
          <w:rFonts w:hint="eastAsia"/>
          <w:kern w:val="0"/>
          <w:szCs w:val="23"/>
          <w:lang w:val="en-US" w:eastAsia="zh-CN"/>
        </w:rPr>
        <w:t xml:space="preserve"> </w:t>
      </w:r>
      <w:r>
        <w:rPr>
          <w:rFonts w:hint="eastAsia"/>
          <w:kern w:val="0"/>
          <w:szCs w:val="23"/>
          <w:lang w:val="zh-CN"/>
        </w:rPr>
        <w:t>℃±</w:t>
      </w:r>
      <w:r>
        <w:rPr>
          <w:kern w:val="0"/>
          <w:szCs w:val="23"/>
          <w:lang w:val="zh-CN"/>
        </w:rPr>
        <w:t>5</w:t>
      </w:r>
      <w:r>
        <w:rPr>
          <w:rFonts w:hint="eastAsia"/>
          <w:kern w:val="0"/>
          <w:szCs w:val="23"/>
          <w:lang w:val="zh-CN"/>
        </w:rPr>
        <w:t xml:space="preserve"> ℃下干燥至质量恒定的玻璃砂坩埚内，用</w:t>
      </w:r>
      <w:r>
        <w:rPr>
          <w:rFonts w:hint="eastAsia"/>
          <w:kern w:val="0"/>
          <w:szCs w:val="22"/>
          <w:lang w:val="zh-CN"/>
        </w:rPr>
        <w:t>四苯硼钠</w:t>
      </w:r>
      <w:r>
        <w:rPr>
          <w:rFonts w:hint="eastAsia"/>
          <w:kern w:val="0"/>
          <w:szCs w:val="23"/>
          <w:lang w:val="zh-CN"/>
        </w:rPr>
        <w:t>洗涤液洗涤沉淀和烧杯</w:t>
      </w:r>
      <w:r>
        <w:rPr>
          <w:kern w:val="0"/>
          <w:szCs w:val="23"/>
          <w:lang w:val="zh-CN"/>
        </w:rPr>
        <w:t>5</w:t>
      </w:r>
      <w:r>
        <w:rPr>
          <w:rFonts w:hint="eastAsia"/>
          <w:kern w:val="0"/>
          <w:szCs w:val="23"/>
          <w:lang w:val="zh-CN"/>
        </w:rPr>
        <w:t>次～</w:t>
      </w:r>
      <w:r>
        <w:rPr>
          <w:kern w:val="0"/>
          <w:szCs w:val="23"/>
          <w:lang w:val="zh-CN"/>
        </w:rPr>
        <w:t>7</w:t>
      </w:r>
      <w:r>
        <w:rPr>
          <w:rFonts w:hint="eastAsia"/>
          <w:kern w:val="0"/>
          <w:szCs w:val="23"/>
          <w:lang w:val="zh-CN"/>
        </w:rPr>
        <w:t>次，每次用量约</w:t>
      </w:r>
      <w:r>
        <w:rPr>
          <w:kern w:val="0"/>
          <w:szCs w:val="23"/>
          <w:lang w:val="zh-CN"/>
        </w:rPr>
        <w:t>5</w:t>
      </w:r>
      <w:r>
        <w:rPr>
          <w:rFonts w:hint="eastAsia"/>
          <w:kern w:val="0"/>
          <w:szCs w:val="23"/>
          <w:lang w:val="zh-CN"/>
        </w:rPr>
        <w:t xml:space="preserve"> </w:t>
      </w:r>
      <w:r>
        <w:rPr>
          <w:kern w:val="0"/>
          <w:szCs w:val="23"/>
          <w:lang w:val="zh-CN"/>
        </w:rPr>
        <w:t>mL</w:t>
      </w:r>
      <w:r>
        <w:rPr>
          <w:rFonts w:hint="eastAsia"/>
          <w:kern w:val="0"/>
          <w:szCs w:val="23"/>
          <w:lang w:val="zh-CN"/>
        </w:rPr>
        <w:t>（总量不超过</w:t>
      </w:r>
      <w:r>
        <w:rPr>
          <w:kern w:val="0"/>
          <w:szCs w:val="23"/>
          <w:lang w:val="zh-CN"/>
        </w:rPr>
        <w:t>40</w:t>
      </w:r>
      <w:r>
        <w:rPr>
          <w:rFonts w:hint="eastAsia"/>
          <w:kern w:val="0"/>
          <w:szCs w:val="23"/>
          <w:lang w:val="zh-CN"/>
        </w:rPr>
        <w:t xml:space="preserve"> </w:t>
      </w:r>
      <w:r>
        <w:rPr>
          <w:kern w:val="0"/>
          <w:szCs w:val="23"/>
          <w:lang w:val="zh-CN"/>
        </w:rPr>
        <w:t>mL</w:t>
      </w:r>
      <w:r>
        <w:rPr>
          <w:rFonts w:hint="eastAsia"/>
          <w:kern w:val="0"/>
          <w:szCs w:val="23"/>
          <w:lang w:val="zh-CN"/>
        </w:rPr>
        <w:t>）。再用水洗涤沉淀</w:t>
      </w:r>
      <w:r>
        <w:rPr>
          <w:kern w:val="0"/>
          <w:szCs w:val="23"/>
          <w:lang w:val="zh-CN"/>
        </w:rPr>
        <w:t>2</w:t>
      </w:r>
      <w:r>
        <w:rPr>
          <w:rFonts w:hint="eastAsia"/>
          <w:kern w:val="0"/>
          <w:szCs w:val="23"/>
          <w:lang w:val="zh-CN"/>
        </w:rPr>
        <w:t>次，每次用量约</w:t>
      </w:r>
      <w:r>
        <w:rPr>
          <w:kern w:val="0"/>
          <w:szCs w:val="23"/>
          <w:lang w:val="zh-CN"/>
        </w:rPr>
        <w:t>5</w:t>
      </w:r>
      <w:r>
        <w:rPr>
          <w:rFonts w:hint="eastAsia"/>
          <w:kern w:val="0"/>
          <w:szCs w:val="23"/>
          <w:lang w:val="zh-CN"/>
        </w:rPr>
        <w:t xml:space="preserve"> </w:t>
      </w:r>
      <w:r>
        <w:rPr>
          <w:kern w:val="0"/>
          <w:szCs w:val="23"/>
          <w:lang w:val="zh-CN"/>
        </w:rPr>
        <w:t>mL</w:t>
      </w:r>
      <w:r>
        <w:rPr>
          <w:rFonts w:hint="eastAsia"/>
          <w:kern w:val="0"/>
          <w:szCs w:val="23"/>
          <w:lang w:val="zh-CN"/>
        </w:rPr>
        <w:t>。将盛有沉淀的玻璃砂坩埚置于</w:t>
      </w:r>
      <w:r>
        <w:rPr>
          <w:kern w:val="0"/>
          <w:szCs w:val="23"/>
          <w:lang w:val="zh-CN"/>
        </w:rPr>
        <w:t>120</w:t>
      </w:r>
      <w:r>
        <w:rPr>
          <w:rFonts w:hint="eastAsia"/>
          <w:kern w:val="0"/>
          <w:szCs w:val="23"/>
          <w:lang w:val="zh-CN"/>
        </w:rPr>
        <w:t xml:space="preserve"> ℃±</w:t>
      </w:r>
      <w:r>
        <w:rPr>
          <w:kern w:val="0"/>
          <w:szCs w:val="23"/>
          <w:lang w:val="zh-CN"/>
        </w:rPr>
        <w:t>5</w:t>
      </w:r>
      <w:r>
        <w:rPr>
          <w:rFonts w:hint="eastAsia"/>
          <w:kern w:val="0"/>
          <w:szCs w:val="23"/>
          <w:lang w:val="zh-CN"/>
        </w:rPr>
        <w:t xml:space="preserve"> ℃电热恒温干燥箱中干燥</w:t>
      </w:r>
      <w:r>
        <w:rPr>
          <w:kern w:val="0"/>
          <w:szCs w:val="23"/>
          <w:lang w:val="zh-CN"/>
        </w:rPr>
        <w:t>1</w:t>
      </w:r>
      <w:r>
        <w:rPr>
          <w:rFonts w:hint="eastAsia"/>
          <w:kern w:val="0"/>
          <w:szCs w:val="23"/>
          <w:lang w:val="zh-CN"/>
        </w:rPr>
        <w:t>.</w:t>
      </w:r>
      <w:r>
        <w:rPr>
          <w:kern w:val="0"/>
          <w:szCs w:val="23"/>
          <w:lang w:val="zh-CN"/>
        </w:rPr>
        <w:t>5</w:t>
      </w:r>
      <w:r>
        <w:rPr>
          <w:rFonts w:hint="eastAsia"/>
          <w:kern w:val="0"/>
          <w:szCs w:val="23"/>
          <w:lang w:val="zh-CN"/>
        </w:rPr>
        <w:t xml:space="preserve"> </w:t>
      </w:r>
      <w:r>
        <w:rPr>
          <w:kern w:val="0"/>
          <w:szCs w:val="23"/>
          <w:lang w:val="zh-CN"/>
        </w:rPr>
        <w:t>h</w:t>
      </w:r>
      <w:r>
        <w:rPr>
          <w:rFonts w:hint="eastAsia"/>
          <w:kern w:val="0"/>
          <w:szCs w:val="23"/>
          <w:lang w:val="zh-CN"/>
        </w:rPr>
        <w:t>，取出放入干燥器内冷却至室温，称量。</w:t>
      </w:r>
    </w:p>
    <w:p w14:paraId="32980398">
      <w:pPr>
        <w:pStyle w:val="48"/>
        <w:spacing w:before="156" w:after="156"/>
      </w:pPr>
      <w:r>
        <w:rPr>
          <w:rFonts w:hint="eastAsia"/>
        </w:rPr>
        <w:t>试验数据处理</w:t>
      </w:r>
    </w:p>
    <w:p w14:paraId="6DC8D225">
      <w:pPr>
        <w:autoSpaceDE w:val="0"/>
        <w:autoSpaceDN w:val="0"/>
        <w:adjustRightInd w:val="0"/>
        <w:spacing w:line="360" w:lineRule="exact"/>
        <w:rPr>
          <w:kern w:val="0"/>
          <w:szCs w:val="23"/>
          <w:lang w:val="zh-CN"/>
        </w:rPr>
      </w:pPr>
      <w:r>
        <w:rPr>
          <w:kern w:val="0"/>
          <w:szCs w:val="23"/>
          <w:lang w:val="zh-CN"/>
        </w:rPr>
        <w:t xml:space="preserve">  </w:t>
      </w:r>
      <w:r>
        <w:rPr>
          <w:rFonts w:hint="eastAsia"/>
          <w:kern w:val="0"/>
          <w:szCs w:val="23"/>
          <w:lang w:val="zh-CN"/>
        </w:rPr>
        <w:t xml:space="preserve"> </w:t>
      </w:r>
      <w:r>
        <w:rPr>
          <w:kern w:val="0"/>
          <w:szCs w:val="23"/>
          <w:lang w:val="zh-CN"/>
        </w:rPr>
        <w:t xml:space="preserve"> </w:t>
      </w:r>
      <w:r>
        <w:rPr>
          <w:rFonts w:hint="eastAsia"/>
          <w:kern w:val="0"/>
          <w:szCs w:val="23"/>
          <w:lang w:val="zh-CN"/>
        </w:rPr>
        <w:t>氧化钾含量以氧化钾</w:t>
      </w:r>
      <w:r>
        <w:rPr>
          <w:kern w:val="0"/>
          <w:szCs w:val="23"/>
          <w:lang w:val="zh-CN"/>
        </w:rPr>
        <w:t>（K</w:t>
      </w:r>
      <w:r>
        <w:rPr>
          <w:rFonts w:hint="eastAsia"/>
          <w:kern w:val="0"/>
          <w:szCs w:val="23"/>
          <w:vertAlign w:val="subscript"/>
          <w:lang w:val="zh-CN"/>
        </w:rPr>
        <w:t>2</w:t>
      </w:r>
      <w:r>
        <w:rPr>
          <w:rFonts w:hint="eastAsia"/>
          <w:kern w:val="0"/>
          <w:szCs w:val="23"/>
          <w:lang w:val="zh-CN"/>
        </w:rPr>
        <w:t>O</w:t>
      </w:r>
      <w:r>
        <w:rPr>
          <w:kern w:val="0"/>
          <w:szCs w:val="23"/>
          <w:lang w:val="zh-CN"/>
        </w:rPr>
        <w:t>）</w:t>
      </w:r>
      <w:r>
        <w:rPr>
          <w:rFonts w:hint="eastAsia"/>
          <w:kern w:val="0"/>
          <w:szCs w:val="23"/>
          <w:lang w:val="zh-CN"/>
        </w:rPr>
        <w:t>的质量分数</w:t>
      </w:r>
      <w:r>
        <w:rPr>
          <w:rFonts w:hint="eastAsia"/>
          <w:i/>
          <w:kern w:val="0"/>
          <w:szCs w:val="23"/>
          <w:lang w:val="zh-CN"/>
        </w:rPr>
        <w:t>w</w:t>
      </w:r>
      <w:r>
        <w:rPr>
          <w:rFonts w:hint="eastAsia"/>
          <w:kern w:val="0"/>
          <w:szCs w:val="23"/>
          <w:vertAlign w:val="subscript"/>
          <w:lang w:val="zh-CN"/>
        </w:rPr>
        <w:t>2</w:t>
      </w:r>
      <w:r>
        <w:rPr>
          <w:rFonts w:hint="eastAsia"/>
          <w:kern w:val="0"/>
          <w:szCs w:val="23"/>
          <w:lang w:val="zh-CN"/>
        </w:rPr>
        <w:t>计，按公式</w:t>
      </w:r>
      <w:r>
        <w:rPr>
          <w:kern w:val="0"/>
          <w:szCs w:val="23"/>
          <w:lang w:val="zh-CN"/>
        </w:rPr>
        <w:t>（</w:t>
      </w:r>
      <w:r>
        <w:rPr>
          <w:rFonts w:hint="eastAsia"/>
          <w:kern w:val="0"/>
          <w:szCs w:val="23"/>
          <w:lang w:val="en-US" w:eastAsia="zh-CN"/>
        </w:rPr>
        <w:t>2</w:t>
      </w:r>
      <w:r>
        <w:rPr>
          <w:kern w:val="0"/>
          <w:szCs w:val="23"/>
          <w:lang w:val="zh-CN"/>
        </w:rPr>
        <w:t>）</w:t>
      </w:r>
      <w:r>
        <w:rPr>
          <w:rFonts w:hint="eastAsia"/>
          <w:kern w:val="0"/>
          <w:szCs w:val="23"/>
          <w:lang w:val="zh-CN"/>
        </w:rPr>
        <w:t>计算：</w:t>
      </w:r>
    </w:p>
    <w:p w14:paraId="588A818F">
      <w:pPr>
        <w:autoSpaceDE w:val="0"/>
        <w:autoSpaceDN w:val="0"/>
        <w:adjustRightInd w:val="0"/>
        <w:jc w:val="right"/>
        <w:rPr>
          <w:kern w:val="0"/>
          <w:szCs w:val="23"/>
        </w:rPr>
      </w:pPr>
      <w:r>
        <w:rPr>
          <w:kern w:val="0"/>
          <w:szCs w:val="23"/>
        </w:rPr>
        <w:t xml:space="preserve">  </w:t>
      </w:r>
      <w:r>
        <w:rPr>
          <w:rFonts w:hint="eastAsia"/>
          <w:kern w:val="0"/>
          <w:szCs w:val="23"/>
        </w:rPr>
        <w:t xml:space="preserve">      </w:t>
      </w:r>
      <w:r>
        <w:rPr>
          <w:kern w:val="0"/>
          <w:szCs w:val="23"/>
        </w:rPr>
        <w:t xml:space="preserve"> </w:t>
      </w:r>
      <w:r>
        <w:rPr>
          <w:kern w:val="0"/>
          <w:position w:val="-24"/>
          <w:szCs w:val="23"/>
        </w:rPr>
        <w:object>
          <v:shape id="_x0000_i1026" o:spt="75" alt="" type="#_x0000_t75" style="height:31.25pt;width:153.1pt;" o:ole="t" filled="f" o:preferrelative="t" stroked="f" coordsize="21600,21600">
            <v:path/>
            <v:fill on="f" focussize="0,0"/>
            <v:stroke on="f"/>
            <v:imagedata r:id="rId9" o:title=""/>
            <o:lock v:ext="edit" aspectratio="t"/>
            <w10:wrap type="none"/>
            <w10:anchorlock/>
          </v:shape>
          <o:OLEObject Type="Embed" ProgID="Equation.3" ShapeID="_x0000_i1026" DrawAspect="Content" ObjectID="_1468075726" r:id="rId8">
            <o:LockedField>false</o:LockedField>
          </o:OLEObject>
        </w:object>
      </w:r>
      <w:r>
        <w:rPr>
          <w:rFonts w:ascii="宋体" w:hAnsi="宋体"/>
          <w:kern w:val="0"/>
          <w:szCs w:val="22"/>
        </w:rPr>
        <w:t>……………………………………</w:t>
      </w:r>
      <w:r>
        <w:rPr>
          <w:kern w:val="0"/>
          <w:szCs w:val="23"/>
        </w:rPr>
        <w:t>（</w:t>
      </w:r>
      <w:r>
        <w:rPr>
          <w:rFonts w:hint="eastAsia"/>
          <w:kern w:val="0"/>
          <w:szCs w:val="23"/>
          <w:lang w:val="en-US" w:eastAsia="zh-CN"/>
        </w:rPr>
        <w:t>2</w:t>
      </w:r>
      <w:r>
        <w:rPr>
          <w:kern w:val="0"/>
          <w:szCs w:val="23"/>
        </w:rPr>
        <w:t>）</w:t>
      </w:r>
    </w:p>
    <w:p w14:paraId="356F9F2F">
      <w:pPr>
        <w:autoSpaceDE w:val="0"/>
        <w:autoSpaceDN w:val="0"/>
        <w:adjustRightInd w:val="0"/>
        <w:ind w:firstLine="420" w:firstLineChars="200"/>
        <w:jc w:val="both"/>
        <w:rPr>
          <w:rFonts w:hint="eastAsia"/>
          <w:kern w:val="0"/>
          <w:szCs w:val="23"/>
        </w:rPr>
      </w:pPr>
      <w:r>
        <w:rPr>
          <w:rFonts w:hint="eastAsia"/>
          <w:kern w:val="0"/>
          <w:szCs w:val="23"/>
          <w:lang w:val="zh-CN"/>
        </w:rPr>
        <w:t>式中</w:t>
      </w:r>
      <w:r>
        <w:rPr>
          <w:rFonts w:hint="eastAsia"/>
          <w:kern w:val="0"/>
          <w:szCs w:val="23"/>
        </w:rPr>
        <w:t>：</w:t>
      </w:r>
    </w:p>
    <w:p w14:paraId="5E0EA7D7">
      <w:pPr>
        <w:autoSpaceDE w:val="0"/>
        <w:autoSpaceDN w:val="0"/>
        <w:adjustRightInd w:val="0"/>
        <w:ind w:firstLine="420" w:firstLineChars="200"/>
        <w:jc w:val="both"/>
        <w:rPr>
          <w:rFonts w:hint="eastAsia"/>
          <w:kern w:val="0"/>
          <w:szCs w:val="23"/>
          <w:lang w:val="zh-CN"/>
        </w:rPr>
      </w:pPr>
      <w:r>
        <w:rPr>
          <w:i/>
          <w:kern w:val="0"/>
          <w:szCs w:val="23"/>
          <w:lang w:val="zh-CN"/>
        </w:rPr>
        <w:t>m</w:t>
      </w:r>
      <w:r>
        <w:rPr>
          <w:rFonts w:hint="eastAsia"/>
          <w:kern w:val="0"/>
          <w:szCs w:val="23"/>
          <w:vertAlign w:val="subscript"/>
          <w:lang w:val="zh-CN"/>
        </w:rPr>
        <w:t>1</w:t>
      </w:r>
      <w:r>
        <w:rPr>
          <w:rFonts w:hint="eastAsia"/>
          <w:kern w:val="0"/>
          <w:szCs w:val="23"/>
          <w:vertAlign w:val="subscript"/>
          <w:lang w:val="en-US" w:eastAsia="zh-CN"/>
        </w:rPr>
        <w:t xml:space="preserve">     </w:t>
      </w:r>
      <w:r>
        <w:rPr>
          <w:rFonts w:hint="eastAsia"/>
          <w:kern w:val="0"/>
          <w:szCs w:val="23"/>
          <w:lang w:val="zh-CN"/>
        </w:rPr>
        <w:t>——</w:t>
      </w:r>
      <w:r>
        <w:rPr>
          <w:rFonts w:hint="eastAsia"/>
          <w:kern w:val="0"/>
          <w:szCs w:val="23"/>
          <w:lang w:val="en-US" w:eastAsia="zh-CN"/>
        </w:rPr>
        <w:t>试验溶液中生成</w:t>
      </w:r>
      <w:r>
        <w:rPr>
          <w:rFonts w:hint="eastAsia"/>
          <w:kern w:val="0"/>
          <w:szCs w:val="23"/>
          <w:lang w:val="zh-CN"/>
        </w:rPr>
        <w:t>的四苯硼钾</w:t>
      </w:r>
      <w:r>
        <w:rPr>
          <w:rFonts w:hint="eastAsia"/>
          <w:kern w:val="0"/>
          <w:szCs w:val="23"/>
          <w:lang w:val="en-US" w:eastAsia="zh-CN"/>
        </w:rPr>
        <w:t>沉淀</w:t>
      </w:r>
      <w:r>
        <w:rPr>
          <w:rFonts w:hint="eastAsia"/>
          <w:kern w:val="0"/>
          <w:szCs w:val="23"/>
          <w:lang w:val="zh-CN"/>
        </w:rPr>
        <w:t>质量的数值，单位为克（</w:t>
      </w:r>
      <w:r>
        <w:rPr>
          <w:kern w:val="0"/>
          <w:szCs w:val="23"/>
          <w:lang w:val="zh-CN"/>
        </w:rPr>
        <w:t>g</w:t>
      </w:r>
      <w:r>
        <w:rPr>
          <w:rFonts w:hint="eastAsia"/>
          <w:kern w:val="0"/>
          <w:szCs w:val="23"/>
          <w:lang w:val="zh-CN"/>
        </w:rPr>
        <w:t>）；</w:t>
      </w:r>
    </w:p>
    <w:p w14:paraId="5FEEC0F1">
      <w:pPr>
        <w:autoSpaceDE w:val="0"/>
        <w:autoSpaceDN w:val="0"/>
        <w:adjustRightInd w:val="0"/>
        <w:ind w:firstLine="420" w:firstLineChars="200"/>
        <w:jc w:val="both"/>
        <w:rPr>
          <w:rFonts w:hint="eastAsia"/>
          <w:kern w:val="0"/>
          <w:szCs w:val="23"/>
          <w:lang w:val="zh-CN"/>
        </w:rPr>
      </w:pPr>
      <w:r>
        <w:rPr>
          <w:rFonts w:hint="eastAsia"/>
          <w:i/>
          <w:kern w:val="0"/>
          <w:szCs w:val="23"/>
          <w:lang w:val="en-US" w:eastAsia="zh-CN"/>
        </w:rPr>
        <w:t>m</w:t>
      </w:r>
      <w:r>
        <w:rPr>
          <w:rFonts w:hint="eastAsia"/>
          <w:kern w:val="0"/>
          <w:szCs w:val="23"/>
          <w:vertAlign w:val="subscript"/>
          <w:lang w:val="en-US" w:eastAsia="zh-CN"/>
        </w:rPr>
        <w:t xml:space="preserve">0     </w:t>
      </w:r>
      <w:r>
        <w:rPr>
          <w:rFonts w:hint="eastAsia"/>
          <w:kern w:val="0"/>
          <w:szCs w:val="23"/>
          <w:lang w:val="zh-CN"/>
        </w:rPr>
        <w:t>——空白试验</w:t>
      </w:r>
      <w:r>
        <w:rPr>
          <w:rFonts w:hint="eastAsia"/>
          <w:kern w:val="0"/>
          <w:szCs w:val="23"/>
          <w:lang w:val="en-US" w:eastAsia="zh-CN"/>
        </w:rPr>
        <w:t>溶液</w:t>
      </w:r>
      <w:r>
        <w:rPr>
          <w:rFonts w:hint="eastAsia"/>
          <w:kern w:val="0"/>
          <w:szCs w:val="23"/>
          <w:lang w:val="zh-CN"/>
        </w:rPr>
        <w:t>中</w:t>
      </w:r>
      <w:r>
        <w:rPr>
          <w:rFonts w:hint="eastAsia"/>
          <w:kern w:val="0"/>
          <w:szCs w:val="23"/>
          <w:lang w:val="en-US" w:eastAsia="zh-CN"/>
        </w:rPr>
        <w:t>生成的</w:t>
      </w:r>
      <w:r>
        <w:rPr>
          <w:rFonts w:hint="eastAsia"/>
          <w:kern w:val="0"/>
          <w:szCs w:val="23"/>
          <w:lang w:val="zh-CN"/>
        </w:rPr>
        <w:t>四苯硼钾</w:t>
      </w:r>
      <w:r>
        <w:rPr>
          <w:rFonts w:hint="eastAsia"/>
          <w:kern w:val="0"/>
          <w:szCs w:val="23"/>
          <w:lang w:val="en-US" w:eastAsia="zh-CN"/>
        </w:rPr>
        <w:t>沉淀</w:t>
      </w:r>
      <w:r>
        <w:rPr>
          <w:rFonts w:hint="eastAsia"/>
          <w:kern w:val="0"/>
          <w:szCs w:val="23"/>
          <w:lang w:val="zh-CN"/>
        </w:rPr>
        <w:t>质量的数值，单位为克（</w:t>
      </w:r>
      <w:r>
        <w:rPr>
          <w:kern w:val="0"/>
          <w:szCs w:val="23"/>
          <w:lang w:val="zh-CN"/>
        </w:rPr>
        <w:t>g</w:t>
      </w:r>
      <w:r>
        <w:rPr>
          <w:rFonts w:hint="eastAsia"/>
          <w:kern w:val="0"/>
          <w:szCs w:val="23"/>
          <w:lang w:val="zh-CN"/>
        </w:rPr>
        <w:t>）；</w:t>
      </w:r>
    </w:p>
    <w:p w14:paraId="7B5F25DF">
      <w:pPr>
        <w:autoSpaceDE w:val="0"/>
        <w:autoSpaceDN w:val="0"/>
        <w:adjustRightInd w:val="0"/>
        <w:ind w:firstLine="420" w:firstLineChars="200"/>
        <w:jc w:val="both"/>
        <w:rPr>
          <w:kern w:val="0"/>
          <w:szCs w:val="23"/>
          <w:lang w:val="zh-CN"/>
        </w:rPr>
      </w:pPr>
      <w:r>
        <w:rPr>
          <w:rFonts w:hint="eastAsia"/>
          <w:i/>
          <w:kern w:val="0"/>
          <w:szCs w:val="23"/>
          <w:lang w:val="en-US" w:eastAsia="zh-CN"/>
        </w:rPr>
        <w:t xml:space="preserve">m    </w:t>
      </w:r>
      <w:r>
        <w:rPr>
          <w:kern w:val="0"/>
          <w:szCs w:val="23"/>
          <w:lang w:val="zh-CN"/>
        </w:rPr>
        <w:t>——</w:t>
      </w:r>
      <w:r>
        <w:rPr>
          <w:rFonts w:hint="eastAsia"/>
          <w:kern w:val="0"/>
          <w:szCs w:val="23"/>
          <w:lang w:val="zh-CN"/>
        </w:rPr>
        <w:t>试料的质量的数值，单位为克（</w:t>
      </w:r>
      <w:r>
        <w:rPr>
          <w:kern w:val="0"/>
          <w:szCs w:val="23"/>
          <w:lang w:val="zh-CN"/>
        </w:rPr>
        <w:t>g</w:t>
      </w:r>
      <w:r>
        <w:rPr>
          <w:rFonts w:hint="eastAsia"/>
          <w:kern w:val="0"/>
          <w:szCs w:val="23"/>
          <w:lang w:val="zh-CN"/>
        </w:rPr>
        <w:t>）；</w:t>
      </w:r>
      <w:r>
        <w:rPr>
          <w:kern w:val="0"/>
          <w:szCs w:val="23"/>
          <w:lang w:val="zh-CN"/>
        </w:rPr>
        <w:t xml:space="preserve">    </w:t>
      </w:r>
    </w:p>
    <w:p w14:paraId="441D78D7">
      <w:pPr>
        <w:autoSpaceDE w:val="0"/>
        <w:autoSpaceDN w:val="0"/>
        <w:adjustRightInd w:val="0"/>
        <w:spacing w:line="360" w:lineRule="exact"/>
        <w:ind w:firstLine="420" w:firstLineChars="200"/>
        <w:rPr>
          <w:kern w:val="0"/>
          <w:szCs w:val="23"/>
          <w:lang w:val="zh-CN"/>
        </w:rPr>
      </w:pPr>
      <w:r>
        <w:rPr>
          <w:kern w:val="0"/>
          <w:szCs w:val="23"/>
          <w:lang w:val="zh-CN"/>
        </w:rPr>
        <w:t>0</w:t>
      </w:r>
      <w:r>
        <w:rPr>
          <w:rFonts w:hint="eastAsia"/>
          <w:kern w:val="0"/>
          <w:szCs w:val="23"/>
          <w:lang w:val="zh-CN"/>
        </w:rPr>
        <w:t>.</w:t>
      </w:r>
      <w:r>
        <w:rPr>
          <w:kern w:val="0"/>
          <w:szCs w:val="23"/>
          <w:lang w:val="zh-CN"/>
        </w:rPr>
        <w:t>1</w:t>
      </w:r>
      <w:r>
        <w:rPr>
          <w:rFonts w:hint="eastAsia"/>
          <w:kern w:val="0"/>
          <w:szCs w:val="23"/>
          <w:lang w:val="zh-CN"/>
        </w:rPr>
        <w:t>314——四苯硼钾换算为氧化钾的系数。</w:t>
      </w:r>
    </w:p>
    <w:p w14:paraId="26F0D1B2">
      <w:pPr>
        <w:spacing w:line="360" w:lineRule="exact"/>
        <w:ind w:firstLine="420" w:firstLineChars="200"/>
        <w:rPr>
          <w:kern w:val="0"/>
          <w:szCs w:val="23"/>
          <w:lang w:val="zh-CN"/>
        </w:rPr>
      </w:pPr>
      <w:r>
        <w:rPr>
          <w:rFonts w:hint="eastAsia"/>
          <w:kern w:val="0"/>
          <w:lang w:val="zh-CN"/>
        </w:rPr>
        <w:t>取平行测定结果的算术平均值为测定结果，两次平行测定结果的绝对差值不大于</w:t>
      </w:r>
      <w:r>
        <w:rPr>
          <w:kern w:val="0"/>
          <w:lang w:val="zh-CN"/>
        </w:rPr>
        <w:t>0</w:t>
      </w:r>
      <w:r>
        <w:rPr>
          <w:rFonts w:hint="eastAsia"/>
          <w:kern w:val="0"/>
          <w:lang w:val="zh-CN"/>
        </w:rPr>
        <w:t>.</w:t>
      </w:r>
      <w:r>
        <w:rPr>
          <w:kern w:val="0"/>
          <w:lang w:val="zh-CN"/>
        </w:rPr>
        <w:t>4</w:t>
      </w:r>
      <w:r>
        <w:rPr>
          <w:rFonts w:hint="eastAsia"/>
          <w:kern w:val="0"/>
          <w:lang w:val="zh-CN"/>
        </w:rPr>
        <w:t xml:space="preserve"> ％。</w:t>
      </w:r>
    </w:p>
    <w:p w14:paraId="7D4F60BC">
      <w:pPr>
        <w:pStyle w:val="44"/>
        <w:spacing w:before="156" w:after="156" w:line="360" w:lineRule="exact"/>
        <w:ind w:left="0" w:leftChars="0" w:firstLine="0" w:firstLineChars="0"/>
        <w:rPr>
          <w:color w:val="auto"/>
          <w:lang w:val="zh-CN"/>
        </w:rPr>
      </w:pPr>
      <w:r>
        <w:rPr>
          <w:rFonts w:hint="eastAsia"/>
          <w:color w:val="auto"/>
          <w:lang w:val="zh-CN"/>
        </w:rPr>
        <w:t>干燥减量的测定</w:t>
      </w:r>
    </w:p>
    <w:p w14:paraId="398D3661">
      <w:pPr>
        <w:pStyle w:val="48"/>
        <w:spacing w:before="156" w:after="156"/>
        <w:ind w:left="0" w:leftChars="0" w:firstLine="0" w:firstLineChars="0"/>
        <w:rPr>
          <w:color w:val="auto"/>
          <w:lang w:val="zh-CN"/>
        </w:rPr>
      </w:pPr>
      <w:r>
        <w:rPr>
          <w:rFonts w:hint="eastAsia"/>
          <w:color w:val="auto"/>
          <w:lang w:val="zh-CN"/>
        </w:rPr>
        <w:t>仪器设备</w:t>
      </w:r>
    </w:p>
    <w:p w14:paraId="5F4BC8E9">
      <w:pPr>
        <w:pStyle w:val="24"/>
        <w:spacing w:line="320" w:lineRule="exact"/>
        <w:ind w:left="0" w:leftChars="0" w:firstLine="420" w:firstLineChars="200"/>
        <w:rPr>
          <w:color w:val="auto"/>
        </w:rPr>
      </w:pPr>
      <w:r>
        <w:rPr>
          <w:rFonts w:hint="eastAsia"/>
          <w:color w:val="auto"/>
        </w:rPr>
        <w:t>电热恒温干燥箱：控温范围为</w:t>
      </w:r>
      <w:r>
        <w:rPr>
          <w:rFonts w:ascii="TimesNewRomanPSMT" w:hAnsi="TimesNewRomanPSMT" w:cs="TimesNewRomanPSMT"/>
          <w:color w:val="auto"/>
        </w:rPr>
        <w:t>105</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℃和</w:t>
      </w:r>
      <w:r>
        <w:rPr>
          <w:rFonts w:ascii="Times New Roman" w:eastAsia="新宋体"/>
          <w:color w:val="auto"/>
        </w:rPr>
        <w:t>180</w:t>
      </w:r>
      <w:r>
        <w:rPr>
          <w:rFonts w:hint="eastAsia" w:ascii="Times New Roman" w:eastAsia="新宋体"/>
          <w:color w:val="auto"/>
          <w:lang w:val="en-US" w:eastAsia="zh-CN"/>
        </w:rPr>
        <w:t xml:space="preserve"> </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hint="eastAsia"/>
          <w:color w:val="auto"/>
        </w:rPr>
        <w:t>。</w:t>
      </w:r>
    </w:p>
    <w:p w14:paraId="53210187">
      <w:pPr>
        <w:pStyle w:val="48"/>
        <w:spacing w:before="156" w:after="156"/>
        <w:ind w:left="0" w:leftChars="0" w:firstLine="0" w:firstLineChars="0"/>
        <w:rPr>
          <w:color w:val="auto"/>
          <w:lang w:val="zh-CN"/>
        </w:rPr>
      </w:pPr>
      <w:r>
        <w:rPr>
          <w:rFonts w:hint="eastAsia"/>
          <w:color w:val="auto"/>
        </w:rPr>
        <w:t>试验</w:t>
      </w:r>
      <w:r>
        <w:rPr>
          <w:rFonts w:hint="eastAsia"/>
          <w:color w:val="auto"/>
          <w:lang w:val="zh-CN"/>
        </w:rPr>
        <w:t>步骤</w:t>
      </w:r>
    </w:p>
    <w:p w14:paraId="7ECD68AC">
      <w:pPr>
        <w:pStyle w:val="53"/>
        <w:spacing w:before="156" w:after="156"/>
        <w:ind w:left="0" w:leftChars="0" w:firstLine="0" w:firstLineChars="0"/>
        <w:rPr>
          <w:color w:val="auto"/>
        </w:rPr>
      </w:pPr>
      <w:r>
        <w:rPr>
          <w:rFonts w:hint="eastAsia"/>
          <w:color w:val="auto"/>
        </w:rPr>
        <w:t>Ⅰ型产品的测定</w:t>
      </w:r>
    </w:p>
    <w:p w14:paraId="259CB3D8">
      <w:pPr>
        <w:pStyle w:val="24"/>
        <w:spacing w:line="360" w:lineRule="exact"/>
        <w:ind w:left="0" w:leftChars="0" w:firstLine="420" w:firstLineChars="200"/>
        <w:rPr>
          <w:rFonts w:ascii="Times New Roman"/>
          <w:color w:val="auto"/>
        </w:rPr>
      </w:pPr>
      <w:r>
        <w:rPr>
          <w:rFonts w:hint="eastAsia"/>
          <w:color w:val="auto"/>
          <w:lang w:val="en-US" w:eastAsia="zh-CN"/>
        </w:rPr>
        <w:t>快速</w:t>
      </w:r>
      <w:r>
        <w:rPr>
          <w:rFonts w:hint="eastAsia"/>
          <w:color w:val="auto"/>
        </w:rPr>
        <w:t>称取约</w:t>
      </w:r>
      <w:r>
        <w:rPr>
          <w:rFonts w:hint="eastAsia" w:ascii="TimesNewRomanPSMT" w:hAnsi="TimesNewRomanPSMT" w:cs="TimesNewRomanPSMT"/>
          <w:color w:val="auto"/>
        </w:rPr>
        <w:t>8</w:t>
      </w:r>
      <w:r>
        <w:rPr>
          <w:rFonts w:hint="eastAsia" w:ascii="TimesNewRomanPSMT" w:hAnsi="TimesNewRomanPSMT" w:cs="TimesNewRomanPSMT"/>
          <w:color w:val="auto"/>
          <w:lang w:val="en-US" w:eastAsia="zh-CN"/>
        </w:rPr>
        <w:t xml:space="preserve"> </w:t>
      </w:r>
      <w:r>
        <w:rPr>
          <w:rFonts w:ascii="TimesNewRomanPSMT" w:hAnsi="TimesNewRomanPSMT" w:cs="TimesNewRomanPSMT"/>
          <w:color w:val="auto"/>
        </w:rPr>
        <w:t>g</w:t>
      </w:r>
      <w:r>
        <w:rPr>
          <w:rFonts w:hint="eastAsia"/>
          <w:color w:val="auto"/>
        </w:rPr>
        <w:t>试样，精确至</w:t>
      </w:r>
      <w:r>
        <w:rPr>
          <w:rFonts w:ascii="TimesNewRomanPSMT" w:hAnsi="TimesNewRomanPSMT" w:cs="TimesNewRomanPSMT"/>
          <w:color w:val="auto"/>
        </w:rPr>
        <w:t>0.000</w:t>
      </w:r>
      <w:r>
        <w:rPr>
          <w:rFonts w:hint="eastAsia" w:ascii="TimesNewRomanPSMT" w:hAnsi="TimesNewRomanPSMT" w:cs="TimesNewRomanPSMT"/>
          <w:color w:val="auto"/>
          <w:lang w:val="en-US" w:eastAsia="zh-CN"/>
        </w:rPr>
        <w:t xml:space="preserve"> </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ascii="TimesNewRomanPSMT" w:hAnsi="TimesNewRomanPSMT" w:cs="TimesNewRomanPSMT"/>
          <w:color w:val="auto"/>
        </w:rPr>
        <w:t>g</w:t>
      </w:r>
      <w:r>
        <w:rPr>
          <w:rFonts w:hint="eastAsia" w:ascii="TimesNewRomanPSMT" w:hAnsi="TimesNewRomanPSMT" w:cs="TimesNewRomanPSMT"/>
          <w:color w:val="auto"/>
          <w:lang w:eastAsia="zh-CN"/>
        </w:rPr>
        <w:t>。</w:t>
      </w:r>
      <w:r>
        <w:rPr>
          <w:rFonts w:hint="eastAsia"/>
          <w:color w:val="auto"/>
        </w:rPr>
        <w:t>置于已于</w:t>
      </w:r>
      <w:r>
        <w:rPr>
          <w:rFonts w:ascii="TimesNewRomanPSMT" w:hAnsi="TimesNewRomanPSMT" w:cs="TimesNewRomanPSMT"/>
          <w:color w:val="auto"/>
        </w:rPr>
        <w:t>105</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新宋体" w:eastAsia="新宋体" w:cs="新宋体"/>
          <w:color w:val="auto"/>
        </w:rPr>
        <w:t>℃</w:t>
      </w:r>
      <w:r>
        <w:rPr>
          <w:rFonts w:hint="eastAsia"/>
          <w:color w:val="auto"/>
        </w:rPr>
        <w:t>干燥至质量恒定的称量瓶</w:t>
      </w:r>
      <w:r>
        <w:rPr>
          <w:rFonts w:hint="eastAsia"/>
          <w:color w:val="auto"/>
          <w:lang w:val="en-US" w:eastAsia="zh-CN"/>
        </w:rPr>
        <w:t>中，在</w:t>
      </w:r>
      <w:r>
        <w:rPr>
          <w:rFonts w:ascii="TimesNewRomanPSMT" w:hAnsi="TimesNewRomanPSMT" w:cs="TimesNewRomanPSMT"/>
          <w:color w:val="auto"/>
        </w:rPr>
        <w:t>105</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ascii="Times New Roman"/>
          <w:color w:val="auto"/>
        </w:rPr>
        <w:t>的电热恒温干燥箱中干燥4 h。</w:t>
      </w:r>
    </w:p>
    <w:p w14:paraId="4778BDB9">
      <w:pPr>
        <w:pStyle w:val="53"/>
        <w:spacing w:before="156" w:after="156"/>
        <w:ind w:left="0" w:leftChars="0" w:firstLine="0" w:firstLineChars="0"/>
        <w:rPr>
          <w:color w:val="auto"/>
        </w:rPr>
      </w:pPr>
      <w:r>
        <w:rPr>
          <w:rFonts w:hint="eastAsia"/>
          <w:color w:val="auto"/>
        </w:rPr>
        <w:t>Ⅱ型产品的测定</w:t>
      </w:r>
    </w:p>
    <w:p w14:paraId="720D9045">
      <w:pPr>
        <w:pStyle w:val="24"/>
        <w:spacing w:line="360" w:lineRule="exact"/>
        <w:ind w:left="0" w:leftChars="0" w:firstLine="420" w:firstLineChars="200"/>
        <w:rPr>
          <w:rFonts w:ascii="Times New Roman"/>
          <w:color w:val="auto"/>
        </w:rPr>
      </w:pPr>
      <w:r>
        <w:rPr>
          <w:rFonts w:hint="eastAsia"/>
          <w:color w:val="auto"/>
        </w:rPr>
        <w:t>称取约</w:t>
      </w:r>
      <w:r>
        <w:rPr>
          <w:rFonts w:hint="eastAsia" w:ascii="TimesNewRomanPSMT" w:hAnsi="TimesNewRomanPSMT" w:cs="TimesNewRomanPSMT"/>
          <w:color w:val="auto"/>
          <w:lang w:eastAsia="zh-CN"/>
        </w:rPr>
        <w:t>1</w:t>
      </w:r>
      <w:r>
        <w:rPr>
          <w:rFonts w:hint="eastAsia" w:ascii="TimesNewRomanPSMT" w:hAnsi="TimesNewRomanPSMT" w:cs="TimesNewRomanPSMT"/>
          <w:color w:val="auto"/>
          <w:lang w:val="en-US" w:eastAsia="zh-CN"/>
        </w:rPr>
        <w:t>0</w:t>
      </w:r>
      <w:r>
        <w:rPr>
          <w:rFonts w:hint="eastAsia" w:ascii="TimesNewRomanPSMT" w:hAnsi="TimesNewRomanPSMT" w:cs="TimesNewRomanPSMT"/>
          <w:color w:val="auto"/>
        </w:rPr>
        <w:t xml:space="preserve"> </w:t>
      </w:r>
      <w:r>
        <w:rPr>
          <w:rFonts w:ascii="TimesNewRomanPSMT" w:hAnsi="TimesNewRomanPSMT" w:cs="TimesNewRomanPSMT"/>
          <w:color w:val="auto"/>
        </w:rPr>
        <w:t>g</w:t>
      </w:r>
      <w:r>
        <w:rPr>
          <w:rFonts w:hint="eastAsia"/>
          <w:color w:val="auto"/>
        </w:rPr>
        <w:t>试样，精确至</w:t>
      </w:r>
      <w:r>
        <w:rPr>
          <w:rFonts w:ascii="TimesNewRomanPSMT" w:hAnsi="TimesNewRomanPSMT" w:cs="TimesNewRomanPSMT"/>
          <w:color w:val="auto"/>
        </w:rPr>
        <w:t>0.000</w:t>
      </w:r>
      <w:r>
        <w:rPr>
          <w:rFonts w:hint="eastAsia" w:ascii="TimesNewRomanPSMT" w:hAnsi="TimesNewRomanPSMT" w:cs="TimesNewRomanPSMT"/>
          <w:color w:val="auto"/>
          <w:lang w:val="en-US" w:eastAsia="zh-CN"/>
        </w:rPr>
        <w:t xml:space="preserve"> </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ascii="TimesNewRomanPSMT" w:hAnsi="TimesNewRomanPSMT" w:cs="TimesNewRomanPSMT"/>
          <w:color w:val="auto"/>
        </w:rPr>
        <w:t>g</w:t>
      </w:r>
      <w:r>
        <w:rPr>
          <w:rFonts w:hint="eastAsia"/>
          <w:color w:val="auto"/>
          <w:lang w:eastAsia="zh-CN"/>
        </w:rPr>
        <w:t>。</w:t>
      </w:r>
      <w:r>
        <w:rPr>
          <w:rFonts w:hint="eastAsia"/>
          <w:color w:val="auto"/>
        </w:rPr>
        <w:t>置于已于</w:t>
      </w:r>
      <w:r>
        <w:rPr>
          <w:rFonts w:ascii="TimesNewRomanPSMT" w:hAnsi="TimesNewRomanPSMT" w:cs="TimesNewRomanPSMT"/>
          <w:color w:val="auto"/>
        </w:rPr>
        <w:t>1</w:t>
      </w:r>
      <w:r>
        <w:rPr>
          <w:rFonts w:hint="eastAsia" w:ascii="TimesNewRomanPSMT" w:hAnsi="TimesNewRomanPSMT" w:cs="TimesNewRomanPSMT"/>
          <w:color w:val="auto"/>
        </w:rPr>
        <w:t xml:space="preserve">80 </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新宋体" w:eastAsia="新宋体" w:cs="新宋体"/>
          <w:color w:val="auto"/>
        </w:rPr>
        <w:t>℃</w:t>
      </w:r>
      <w:r>
        <w:rPr>
          <w:rFonts w:hint="eastAsia"/>
          <w:color w:val="auto"/>
        </w:rPr>
        <w:t>干燥至质量恒定的称量瓶</w:t>
      </w:r>
      <w:r>
        <w:rPr>
          <w:rFonts w:hint="eastAsia"/>
          <w:color w:val="auto"/>
          <w:lang w:val="en-US" w:eastAsia="zh-CN"/>
        </w:rPr>
        <w:t>中，</w:t>
      </w:r>
      <w:r>
        <w:rPr>
          <w:rFonts w:hint="eastAsia" w:ascii="TimesNewRomanPSMT" w:hAnsi="TimesNewRomanPSMT" w:cs="TimesNewRomanPSMT"/>
          <w:color w:val="auto"/>
          <w:lang w:eastAsia="zh-CN"/>
        </w:rPr>
        <w:t>先</w:t>
      </w:r>
      <w:r>
        <w:rPr>
          <w:rFonts w:hint="eastAsia" w:ascii="TimesNewRomanPSMT" w:hAnsi="TimesNewRomanPSMT" w:cs="TimesNewRomanPSMT"/>
          <w:color w:val="auto"/>
          <w:lang w:val="en-US" w:eastAsia="zh-CN"/>
        </w:rPr>
        <w:t>于</w:t>
      </w:r>
      <w:r>
        <w:rPr>
          <w:rFonts w:ascii="TimesNewRomanPSMT" w:hAnsi="TimesNewRomanPSMT" w:cs="TimesNewRomanPSMT"/>
          <w:color w:val="auto"/>
        </w:rPr>
        <w:t>105</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ascii="Times New Roman"/>
          <w:color w:val="auto"/>
        </w:rPr>
        <w:t>的电热恒温干燥箱中干燥</w:t>
      </w:r>
      <w:r>
        <w:rPr>
          <w:rFonts w:hint="eastAsia" w:ascii="Times New Roman"/>
          <w:color w:val="auto"/>
          <w:lang w:val="en-US" w:eastAsia="zh-CN"/>
        </w:rPr>
        <w:t>2</w:t>
      </w:r>
      <w:r>
        <w:rPr>
          <w:rFonts w:ascii="Times New Roman"/>
          <w:color w:val="auto"/>
        </w:rPr>
        <w:t xml:space="preserve"> h</w:t>
      </w:r>
      <w:r>
        <w:rPr>
          <w:rFonts w:hint="eastAsia" w:ascii="Times New Roman"/>
          <w:color w:val="auto"/>
          <w:lang w:eastAsia="zh-CN"/>
        </w:rPr>
        <w:t>，</w:t>
      </w:r>
      <w:r>
        <w:rPr>
          <w:rFonts w:hint="eastAsia" w:ascii="Times New Roman"/>
          <w:color w:val="auto"/>
          <w:lang w:val="en-US" w:eastAsia="zh-CN"/>
        </w:rPr>
        <w:t>再将</w:t>
      </w:r>
      <w:r>
        <w:rPr>
          <w:rFonts w:ascii="Times New Roman"/>
          <w:color w:val="auto"/>
        </w:rPr>
        <w:t>电热恒温干燥箱</w:t>
      </w:r>
      <w:r>
        <w:rPr>
          <w:rFonts w:hint="eastAsia" w:ascii="Times New Roman"/>
          <w:color w:val="auto"/>
          <w:lang w:val="en-US" w:eastAsia="zh-CN"/>
        </w:rPr>
        <w:t>温度设定至</w:t>
      </w:r>
      <w:r>
        <w:rPr>
          <w:rFonts w:ascii="TimesNewRomanPSMT" w:hAnsi="TimesNewRomanPSMT" w:cs="TimesNewRomanPSMT"/>
          <w:color w:val="auto"/>
        </w:rPr>
        <w:t>180</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hint="eastAsia"/>
          <w:color w:val="auto"/>
        </w:rPr>
        <w:t>±</w:t>
      </w:r>
      <w:r>
        <w:rPr>
          <w:rFonts w:ascii="TimesNewRomanPSMT" w:hAnsi="TimesNewRomanPSMT" w:cs="TimesNewRomanPSMT"/>
          <w:color w:val="auto"/>
        </w:rPr>
        <w:t>2</w:t>
      </w:r>
      <w:r>
        <w:rPr>
          <w:rFonts w:hint="eastAsia" w:ascii="TimesNewRomanPSMT" w:hAnsi="TimesNewRomanPSMT" w:cs="TimesNewRomanPSMT"/>
          <w:color w:val="auto"/>
          <w:lang w:val="en-US" w:eastAsia="zh-CN"/>
        </w:rPr>
        <w:t xml:space="preserve"> </w:t>
      </w:r>
      <w:r>
        <w:rPr>
          <w:rFonts w:hint="eastAsia" w:ascii="新宋体" w:eastAsia="新宋体" w:cs="新宋体"/>
          <w:color w:val="auto"/>
        </w:rPr>
        <w:t>℃</w:t>
      </w:r>
      <w:r>
        <w:rPr>
          <w:rFonts w:hint="eastAsia" w:ascii="新宋体" w:eastAsia="新宋体" w:cs="新宋体"/>
          <w:color w:val="auto"/>
          <w:lang w:val="en-US" w:eastAsia="zh-CN"/>
        </w:rPr>
        <w:t>，</w:t>
      </w:r>
      <w:r>
        <w:rPr>
          <w:rFonts w:ascii="Times New Roman"/>
          <w:color w:val="auto"/>
        </w:rPr>
        <w:t>干燥</w:t>
      </w:r>
      <w:r>
        <w:rPr>
          <w:rFonts w:hint="eastAsia" w:ascii="Times New Roman"/>
          <w:color w:val="auto"/>
        </w:rPr>
        <w:t>至质量恒定</w:t>
      </w:r>
      <w:r>
        <w:rPr>
          <w:rFonts w:ascii="Times New Roman"/>
          <w:color w:val="auto"/>
        </w:rPr>
        <w:t>。</w:t>
      </w:r>
    </w:p>
    <w:p w14:paraId="6EF574C0">
      <w:pPr>
        <w:pStyle w:val="48"/>
        <w:spacing w:before="156" w:after="156"/>
        <w:ind w:left="0" w:leftChars="0" w:firstLine="0" w:firstLineChars="0"/>
        <w:rPr>
          <w:color w:val="auto"/>
        </w:rPr>
      </w:pPr>
      <w:r>
        <w:rPr>
          <w:rFonts w:hint="eastAsia"/>
          <w:color w:val="auto"/>
        </w:rPr>
        <w:t>试验数据处理</w:t>
      </w:r>
    </w:p>
    <w:p w14:paraId="4E1B1AEE">
      <w:pPr>
        <w:pStyle w:val="24"/>
        <w:spacing w:line="320" w:lineRule="exact"/>
        <w:ind w:left="0" w:leftChars="0" w:firstLine="420" w:firstLineChars="200"/>
        <w:rPr>
          <w:color w:val="auto"/>
        </w:rPr>
      </w:pPr>
      <w:r>
        <w:rPr>
          <w:rFonts w:hint="eastAsia"/>
          <w:color w:val="auto"/>
        </w:rPr>
        <w:t>干燥减量以质量分数</w:t>
      </w:r>
      <w:r>
        <w:rPr>
          <w:rFonts w:ascii="Times New Roman"/>
          <w:i/>
          <w:iCs/>
          <w:color w:val="auto"/>
        </w:rPr>
        <w:t>w</w:t>
      </w:r>
      <w:r>
        <w:rPr>
          <w:rFonts w:hint="eastAsia" w:ascii="TimesNewRomanPSMT" w:hAnsi="TimesNewRomanPSMT" w:cs="TimesNewRomanPSMT"/>
          <w:color w:val="auto"/>
          <w:szCs w:val="21"/>
          <w:vertAlign w:val="subscript"/>
        </w:rPr>
        <w:t>3</w:t>
      </w:r>
      <w:r>
        <w:rPr>
          <w:rFonts w:hint="eastAsia" w:ascii="TimesNewRomanPSMT" w:hAnsi="TimesNewRomanPSMT" w:cs="TimesNewRomanPSMT"/>
          <w:color w:val="auto"/>
          <w:szCs w:val="21"/>
        </w:rPr>
        <w:t>计，</w:t>
      </w:r>
      <w:r>
        <w:rPr>
          <w:rFonts w:hint="eastAsia"/>
          <w:color w:val="auto"/>
        </w:rPr>
        <w:t>按公式（</w:t>
      </w:r>
      <w:r>
        <w:rPr>
          <w:rFonts w:hint="eastAsia" w:ascii="TimesNewRomanPSMT" w:hAnsi="TimesNewRomanPSMT" w:cs="TimesNewRomanPSMT"/>
          <w:color w:val="auto"/>
          <w:lang w:val="en-US" w:eastAsia="zh-CN"/>
        </w:rPr>
        <w:t>3</w:t>
      </w:r>
      <w:r>
        <w:rPr>
          <w:rFonts w:hint="eastAsia"/>
          <w:color w:val="auto"/>
        </w:rPr>
        <w:t>）计算。</w:t>
      </w:r>
    </w:p>
    <w:p w14:paraId="67B119E9">
      <w:pPr>
        <w:autoSpaceDE w:val="0"/>
        <w:autoSpaceDN w:val="0"/>
        <w:adjustRightInd w:val="0"/>
        <w:spacing w:line="720" w:lineRule="auto"/>
        <w:ind w:left="0" w:leftChars="0" w:firstLine="0" w:firstLineChars="0"/>
        <w:jc w:val="right"/>
        <w:rPr>
          <w:color w:val="auto"/>
          <w:kern w:val="0"/>
          <w:szCs w:val="21"/>
        </w:rPr>
      </w:pPr>
      <w:r>
        <w:rPr>
          <w:kern w:val="0"/>
          <w:position w:val="-24"/>
          <w:szCs w:val="23"/>
        </w:rPr>
        <w:object>
          <v:shape id="_x0000_i1027" o:spt="75" type="#_x0000_t75" style="height:31.25pt;width:107.1pt;" o:ole="t" filled="f" o:preferrelative="t" stroked="f" coordsize="21600,21600">
            <v:path/>
            <v:fill on="f" focussize="0,0"/>
            <v:stroke on="f"/>
            <v:imagedata r:id="rId11" o:title=""/>
            <o:lock v:ext="edit" aspectratio="t"/>
            <w10:wrap type="none"/>
            <w10:anchorlock/>
          </v:shape>
          <o:OLEObject Type="Embed" ProgID="Equation.3" ShapeID="_x0000_i1027" DrawAspect="Content" ObjectID="_1468075727" r:id="rId10">
            <o:LockedField>false</o:LockedField>
          </o:OLEObject>
        </w:object>
      </w:r>
      <w:r>
        <w:rPr>
          <w:rFonts w:ascii="宋体" w:hAnsi="宋体"/>
          <w:color w:val="auto"/>
          <w:kern w:val="0"/>
          <w:szCs w:val="22"/>
          <w:lang w:val="zh-CN"/>
        </w:rPr>
        <w:t>…………………………………………</w:t>
      </w:r>
      <w:r>
        <w:rPr>
          <w:color w:val="auto"/>
          <w:kern w:val="0"/>
          <w:szCs w:val="22"/>
          <w:lang w:val="zh-CN"/>
        </w:rPr>
        <w:t>（</w:t>
      </w:r>
      <w:r>
        <w:rPr>
          <w:rFonts w:hint="eastAsia"/>
          <w:color w:val="auto"/>
          <w:kern w:val="0"/>
          <w:szCs w:val="22"/>
          <w:lang w:val="en-US" w:eastAsia="zh-CN"/>
        </w:rPr>
        <w:t>3</w:t>
      </w:r>
      <w:r>
        <w:rPr>
          <w:color w:val="auto"/>
          <w:kern w:val="0"/>
          <w:szCs w:val="22"/>
          <w:lang w:val="zh-CN"/>
        </w:rPr>
        <w:t>）</w:t>
      </w:r>
    </w:p>
    <w:p w14:paraId="79C5A257">
      <w:pPr>
        <w:pStyle w:val="24"/>
        <w:spacing w:line="360" w:lineRule="exact"/>
        <w:ind w:left="0" w:leftChars="0" w:firstLine="420" w:firstLineChars="200"/>
        <w:rPr>
          <w:color w:val="auto"/>
        </w:rPr>
      </w:pPr>
      <w:r>
        <w:rPr>
          <w:rFonts w:hint="eastAsia"/>
          <w:color w:val="auto"/>
        </w:rPr>
        <w:t>式中：</w:t>
      </w:r>
    </w:p>
    <w:p w14:paraId="2743C97C">
      <w:pPr>
        <w:pStyle w:val="24"/>
        <w:spacing w:line="360" w:lineRule="exact"/>
        <w:ind w:left="0" w:leftChars="0" w:firstLine="420" w:firstLineChars="200"/>
        <w:rPr>
          <w:color w:val="auto"/>
        </w:rPr>
      </w:pPr>
      <w:r>
        <w:rPr>
          <w:rFonts w:hint="eastAsia" w:ascii="Times New Roman"/>
          <w:i/>
          <w:iCs/>
          <w:color w:val="auto"/>
          <w:lang w:val="en-US" w:eastAsia="zh-CN"/>
        </w:rPr>
        <w:t>m</w:t>
      </w:r>
      <w:r>
        <w:rPr>
          <w:rFonts w:hint="eastAsia" w:ascii="Times New Roman"/>
          <w:iCs/>
          <w:color w:val="auto"/>
          <w:vertAlign w:val="subscript"/>
          <w:lang w:val="en-US" w:eastAsia="zh-CN"/>
        </w:rPr>
        <w:t>1</w:t>
      </w:r>
      <w:r>
        <w:rPr>
          <w:rFonts w:ascii="TimesNewRomanPSMT" w:hAnsi="TimesNewRomanPSMT" w:cs="TimesNewRomanPSMT"/>
          <w:color w:val="auto"/>
        </w:rPr>
        <w:t>——</w:t>
      </w:r>
      <w:r>
        <w:rPr>
          <w:rFonts w:hint="eastAsia"/>
          <w:color w:val="auto"/>
        </w:rPr>
        <w:t>试样的质量，单位为克（</w:t>
      </w:r>
      <w:r>
        <w:rPr>
          <w:rFonts w:ascii="TimesNewRomanPSMT" w:hAnsi="TimesNewRomanPSMT" w:cs="TimesNewRomanPSMT"/>
          <w:color w:val="auto"/>
        </w:rPr>
        <w:t>g</w:t>
      </w:r>
      <w:r>
        <w:rPr>
          <w:rFonts w:hint="eastAsia"/>
          <w:color w:val="auto"/>
        </w:rPr>
        <w:t>）；</w:t>
      </w:r>
    </w:p>
    <w:p w14:paraId="0201C094">
      <w:pPr>
        <w:pStyle w:val="24"/>
        <w:spacing w:line="360" w:lineRule="exact"/>
        <w:ind w:left="0" w:leftChars="0" w:firstLine="420" w:firstLineChars="200"/>
        <w:rPr>
          <w:color w:val="auto"/>
        </w:rPr>
      </w:pPr>
      <w:r>
        <w:rPr>
          <w:rFonts w:hint="eastAsia" w:ascii="Times New Roman"/>
          <w:i/>
          <w:iCs/>
          <w:color w:val="auto"/>
          <w:lang w:val="en-US" w:eastAsia="zh-CN"/>
        </w:rPr>
        <w:t>m</w:t>
      </w:r>
      <w:r>
        <w:rPr>
          <w:rFonts w:hint="eastAsia" w:ascii="TimesNewRomanPSMT" w:hAnsi="TimesNewRomanPSMT" w:cs="TimesNewRomanPSMT"/>
          <w:color w:val="auto"/>
          <w:szCs w:val="21"/>
          <w:vertAlign w:val="subscript"/>
          <w:lang w:val="en-US" w:eastAsia="zh-CN"/>
        </w:rPr>
        <w:t>0</w:t>
      </w:r>
      <w:r>
        <w:rPr>
          <w:rFonts w:ascii="TimesNewRomanPSMT" w:hAnsi="TimesNewRomanPSMT" w:cs="TimesNewRomanPSMT"/>
          <w:color w:val="auto"/>
        </w:rPr>
        <w:t>——</w:t>
      </w:r>
      <w:r>
        <w:rPr>
          <w:rFonts w:hint="eastAsia"/>
          <w:color w:val="auto"/>
        </w:rPr>
        <w:t>干燥后试样的质量，单位为克（</w:t>
      </w:r>
      <w:r>
        <w:rPr>
          <w:rFonts w:ascii="TimesNewRomanPSMT" w:hAnsi="TimesNewRomanPSMT" w:cs="TimesNewRomanPSMT"/>
          <w:color w:val="auto"/>
        </w:rPr>
        <w:t>g</w:t>
      </w:r>
      <w:r>
        <w:rPr>
          <w:rFonts w:hint="eastAsia"/>
          <w:color w:val="auto"/>
        </w:rPr>
        <w:t>）。</w:t>
      </w:r>
    </w:p>
    <w:p w14:paraId="04CA08C0">
      <w:pPr>
        <w:spacing w:line="360" w:lineRule="exact"/>
        <w:ind w:left="0" w:leftChars="0" w:firstLine="420" w:firstLineChars="200"/>
        <w:rPr>
          <w:color w:val="auto"/>
          <w:kern w:val="0"/>
          <w:szCs w:val="23"/>
          <w:lang w:val="zh-CN"/>
        </w:rPr>
      </w:pPr>
      <w:r>
        <w:rPr>
          <w:rFonts w:hint="eastAsia"/>
          <w:color w:val="auto"/>
          <w:kern w:val="0"/>
          <w:lang w:val="zh-CN"/>
        </w:rPr>
        <w:t>取平行测定结果的算术平均值为测定结果，两次平行测定结果的绝对差值不大于</w:t>
      </w:r>
      <w:r>
        <w:rPr>
          <w:color w:val="auto"/>
          <w:kern w:val="0"/>
          <w:lang w:val="zh-CN"/>
        </w:rPr>
        <w:t>0</w:t>
      </w:r>
      <w:r>
        <w:rPr>
          <w:rFonts w:hint="eastAsia"/>
          <w:color w:val="auto"/>
          <w:kern w:val="0"/>
          <w:lang w:val="zh-CN"/>
        </w:rPr>
        <w:t>.</w:t>
      </w:r>
      <w:r>
        <w:rPr>
          <w:rFonts w:hint="eastAsia"/>
          <w:color w:val="auto"/>
          <w:kern w:val="0"/>
        </w:rPr>
        <w:t>005</w:t>
      </w:r>
      <w:r>
        <w:rPr>
          <w:rFonts w:hint="eastAsia"/>
          <w:color w:val="auto"/>
          <w:kern w:val="0"/>
          <w:lang w:val="zh-CN"/>
        </w:rPr>
        <w:t xml:space="preserve"> ％。</w:t>
      </w:r>
    </w:p>
    <w:p w14:paraId="49EE1678">
      <w:pPr>
        <w:pStyle w:val="44"/>
        <w:spacing w:before="156" w:after="156" w:line="360" w:lineRule="exact"/>
        <w:rPr>
          <w:lang w:val="zh-CN"/>
        </w:rPr>
      </w:pPr>
      <w:r>
        <w:rPr>
          <w:rFonts w:hint="eastAsia"/>
          <w:lang w:val="zh-CN"/>
        </w:rPr>
        <w:t>水不溶物含量的测定</w:t>
      </w:r>
    </w:p>
    <w:p w14:paraId="3F5FFE87">
      <w:pPr>
        <w:pStyle w:val="48"/>
        <w:spacing w:before="156" w:after="156"/>
        <w:rPr>
          <w:lang w:val="zh-CN"/>
        </w:rPr>
      </w:pPr>
      <w:r>
        <w:rPr>
          <w:rFonts w:hint="eastAsia"/>
          <w:lang w:val="zh-CN"/>
        </w:rPr>
        <w:t>原理</w:t>
      </w:r>
    </w:p>
    <w:p w14:paraId="38CEE8DB">
      <w:pPr>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用水溶解试样，经玻璃砂坩埚抽滤、洗涤、干燥、称量，计算水不溶物含量。</w:t>
      </w:r>
    </w:p>
    <w:p w14:paraId="48BB9D37">
      <w:pPr>
        <w:pStyle w:val="48"/>
        <w:spacing w:before="156" w:after="156"/>
        <w:rPr>
          <w:lang w:val="zh-CN"/>
        </w:rPr>
      </w:pPr>
      <w:r>
        <w:rPr>
          <w:rFonts w:hint="eastAsia"/>
          <w:lang w:val="zh-CN"/>
        </w:rPr>
        <w:t>仪器设备</w:t>
      </w:r>
    </w:p>
    <w:p w14:paraId="78585A9F">
      <w:pPr>
        <w:pStyle w:val="115"/>
        <w:rPr>
          <w:rFonts w:hint="default" w:ascii="Times New Roman" w:hAnsi="Times New Roman" w:cs="Times New Roman"/>
          <w:lang w:val="zh-CN"/>
        </w:rPr>
      </w:pPr>
      <w:r>
        <w:rPr>
          <w:rFonts w:hint="default" w:ascii="Times New Roman" w:hAnsi="Times New Roman" w:cs="Times New Roman"/>
          <w:lang w:val="zh-CN"/>
        </w:rPr>
        <w:t>玻璃砂坩埚：滤板</w:t>
      </w:r>
      <w:r>
        <w:rPr>
          <w:rFonts w:hint="default" w:ascii="Times New Roman" w:hAnsi="Times New Roman" w:cs="Times New Roman"/>
        </w:rPr>
        <w:t>孔径为5 μm～15 μm</w:t>
      </w:r>
      <w:r>
        <w:rPr>
          <w:rFonts w:hint="default" w:ascii="Times New Roman" w:hAnsi="Times New Roman" w:cs="Times New Roman"/>
          <w:lang w:val="zh-CN"/>
        </w:rPr>
        <w:t>。</w:t>
      </w:r>
    </w:p>
    <w:p w14:paraId="4DC91033">
      <w:pPr>
        <w:pStyle w:val="115"/>
        <w:rPr>
          <w:rFonts w:hint="default" w:ascii="Times New Roman" w:hAnsi="Times New Roman" w:cs="Times New Roman"/>
          <w:lang w:val="zh-CN"/>
        </w:rPr>
      </w:pPr>
      <w:r>
        <w:rPr>
          <w:rFonts w:hint="default" w:ascii="Times New Roman" w:hAnsi="Times New Roman" w:cs="Times New Roman"/>
          <w:lang w:val="zh-CN"/>
        </w:rPr>
        <w:t>电热恒温干燥箱：温度能控制在105 ℃±2 ℃。</w:t>
      </w:r>
    </w:p>
    <w:p w14:paraId="05960A83">
      <w:pPr>
        <w:pStyle w:val="48"/>
        <w:spacing w:before="156" w:after="156"/>
        <w:rPr>
          <w:lang w:val="zh-CN"/>
        </w:rPr>
      </w:pPr>
      <w:r>
        <w:rPr>
          <w:rFonts w:hint="eastAsia"/>
        </w:rPr>
        <w:t>试验</w:t>
      </w:r>
      <w:r>
        <w:rPr>
          <w:rFonts w:hint="eastAsia"/>
          <w:lang w:val="zh-CN"/>
        </w:rPr>
        <w:t>步骤</w:t>
      </w:r>
    </w:p>
    <w:p w14:paraId="2EDC8D4C">
      <w:pPr>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称取约</w:t>
      </w:r>
      <w:r>
        <w:rPr>
          <w:color w:val="000000"/>
          <w:kern w:val="0"/>
          <w:szCs w:val="22"/>
          <w:lang w:val="zh-CN"/>
        </w:rPr>
        <w:t>10</w:t>
      </w:r>
      <w:r>
        <w:rPr>
          <w:rFonts w:hint="eastAsia"/>
          <w:color w:val="000000"/>
          <w:kern w:val="0"/>
          <w:szCs w:val="22"/>
          <w:lang w:val="zh-CN"/>
        </w:rPr>
        <w:t xml:space="preserve"> </w:t>
      </w:r>
      <w:r>
        <w:rPr>
          <w:color w:val="000000"/>
          <w:kern w:val="0"/>
          <w:szCs w:val="22"/>
          <w:lang w:val="zh-CN"/>
        </w:rPr>
        <w:t>g</w:t>
      </w:r>
      <w:r>
        <w:rPr>
          <w:rFonts w:hint="eastAsia"/>
          <w:color w:val="000000"/>
          <w:kern w:val="0"/>
          <w:szCs w:val="22"/>
          <w:lang w:val="zh-CN"/>
        </w:rPr>
        <w:t>试样，精确到</w:t>
      </w:r>
      <w:r>
        <w:rPr>
          <w:color w:val="000000"/>
          <w:kern w:val="0"/>
          <w:szCs w:val="22"/>
          <w:lang w:val="zh-CN"/>
        </w:rPr>
        <w:t>0</w:t>
      </w:r>
      <w:r>
        <w:rPr>
          <w:rFonts w:hint="eastAsia"/>
          <w:color w:val="000000"/>
          <w:kern w:val="0"/>
          <w:szCs w:val="22"/>
          <w:lang w:val="zh-CN"/>
        </w:rPr>
        <w:t>.</w:t>
      </w:r>
      <w:r>
        <w:rPr>
          <w:color w:val="000000"/>
          <w:kern w:val="0"/>
          <w:szCs w:val="22"/>
          <w:lang w:val="zh-CN"/>
        </w:rPr>
        <w:t>001</w:t>
      </w:r>
      <w:r>
        <w:rPr>
          <w:rFonts w:hint="eastAsia"/>
          <w:color w:val="000000"/>
          <w:kern w:val="0"/>
          <w:szCs w:val="22"/>
          <w:lang w:val="zh-CN"/>
        </w:rPr>
        <w:t xml:space="preserve"> </w:t>
      </w:r>
      <w:r>
        <w:rPr>
          <w:color w:val="000000"/>
          <w:kern w:val="0"/>
          <w:szCs w:val="22"/>
          <w:lang w:val="zh-CN"/>
        </w:rPr>
        <w:t>g</w:t>
      </w:r>
      <w:r>
        <w:rPr>
          <w:rFonts w:hint="eastAsia"/>
          <w:color w:val="000000"/>
          <w:kern w:val="0"/>
          <w:szCs w:val="22"/>
          <w:lang w:val="zh-CN"/>
        </w:rPr>
        <w:t>，置于</w:t>
      </w:r>
      <w:r>
        <w:rPr>
          <w:color w:val="000000"/>
          <w:kern w:val="0"/>
          <w:szCs w:val="22"/>
          <w:lang w:val="zh-CN"/>
        </w:rPr>
        <w:t>400</w:t>
      </w:r>
      <w:r>
        <w:rPr>
          <w:rFonts w:hint="eastAsia"/>
          <w:color w:val="000000"/>
          <w:kern w:val="0"/>
          <w:szCs w:val="22"/>
          <w:lang w:val="zh-CN"/>
        </w:rPr>
        <w:t xml:space="preserve"> </w:t>
      </w:r>
      <w:r>
        <w:rPr>
          <w:color w:val="000000"/>
          <w:kern w:val="0"/>
          <w:szCs w:val="22"/>
          <w:lang w:val="zh-CN"/>
        </w:rPr>
        <w:t>mL</w:t>
      </w:r>
      <w:r>
        <w:rPr>
          <w:rFonts w:hint="eastAsia"/>
          <w:color w:val="000000"/>
          <w:kern w:val="0"/>
          <w:szCs w:val="22"/>
          <w:lang w:val="zh-CN"/>
        </w:rPr>
        <w:t>烧杯中，加</w:t>
      </w:r>
      <w:r>
        <w:rPr>
          <w:color w:val="000000"/>
          <w:kern w:val="0"/>
          <w:szCs w:val="22"/>
          <w:lang w:val="zh-CN"/>
        </w:rPr>
        <w:t>100</w:t>
      </w:r>
      <w:r>
        <w:rPr>
          <w:rFonts w:hint="eastAsia"/>
          <w:color w:val="000000"/>
          <w:kern w:val="0"/>
          <w:szCs w:val="22"/>
          <w:lang w:val="zh-CN"/>
        </w:rPr>
        <w:t xml:space="preserve"> </w:t>
      </w:r>
      <w:r>
        <w:rPr>
          <w:color w:val="000000"/>
          <w:kern w:val="0"/>
          <w:szCs w:val="22"/>
          <w:lang w:val="zh-CN"/>
        </w:rPr>
        <w:t>mL80</w:t>
      </w:r>
      <w:r>
        <w:rPr>
          <w:rFonts w:hint="eastAsia"/>
          <w:color w:val="000000"/>
          <w:kern w:val="0"/>
          <w:szCs w:val="22"/>
          <w:lang w:val="zh-CN"/>
        </w:rPr>
        <w:t xml:space="preserve"> ℃的水溶解，用预先在</w:t>
      </w:r>
      <w:r>
        <w:rPr>
          <w:color w:val="000000"/>
          <w:kern w:val="0"/>
          <w:szCs w:val="22"/>
          <w:lang w:val="zh-CN"/>
        </w:rPr>
        <w:t>105</w:t>
      </w:r>
      <w:r>
        <w:rPr>
          <w:rFonts w:hint="eastAsia"/>
          <w:color w:val="000000"/>
          <w:kern w:val="0"/>
          <w:szCs w:val="22"/>
          <w:lang w:val="en-US" w:eastAsia="zh-CN"/>
        </w:rPr>
        <w:t xml:space="preserve"> </w:t>
      </w:r>
      <w:r>
        <w:rPr>
          <w:rFonts w:hint="eastAsia"/>
          <w:color w:val="000000"/>
          <w:kern w:val="0"/>
          <w:szCs w:val="22"/>
          <w:lang w:val="zh-CN"/>
        </w:rPr>
        <w:t>℃±2 ℃下干燥至质量恒定的玻璃砂坩埚趁热抽滤，以水洗涤烧杯及玻璃砂坩埚</w:t>
      </w:r>
      <w:r>
        <w:rPr>
          <w:color w:val="000000"/>
          <w:kern w:val="0"/>
          <w:szCs w:val="22"/>
          <w:lang w:val="zh-CN"/>
        </w:rPr>
        <w:t>6</w:t>
      </w:r>
      <w:r>
        <w:rPr>
          <w:rFonts w:hint="eastAsia"/>
          <w:color w:val="000000"/>
          <w:kern w:val="0"/>
          <w:szCs w:val="22"/>
          <w:lang w:val="zh-CN"/>
        </w:rPr>
        <w:t>次</w:t>
      </w:r>
      <w:r>
        <w:rPr>
          <w:rFonts w:hint="eastAsia" w:ascii="宋体" w:hAnsi="宋体"/>
          <w:color w:val="000000"/>
          <w:kern w:val="0"/>
          <w:szCs w:val="22"/>
          <w:lang w:val="zh-CN"/>
        </w:rPr>
        <w:t>～</w:t>
      </w:r>
      <w:r>
        <w:rPr>
          <w:color w:val="000000"/>
          <w:kern w:val="0"/>
          <w:szCs w:val="22"/>
          <w:lang w:val="zh-CN"/>
        </w:rPr>
        <w:t>8</w:t>
      </w:r>
      <w:r>
        <w:rPr>
          <w:rFonts w:hint="eastAsia"/>
          <w:color w:val="000000"/>
          <w:kern w:val="0"/>
          <w:szCs w:val="22"/>
          <w:lang w:val="zh-CN"/>
        </w:rPr>
        <w:t>次，将玻璃砂坩埚与水不溶物置于</w:t>
      </w:r>
      <w:r>
        <w:rPr>
          <w:color w:val="000000"/>
          <w:kern w:val="0"/>
          <w:szCs w:val="22"/>
          <w:lang w:val="zh-CN"/>
        </w:rPr>
        <w:t>105</w:t>
      </w:r>
      <w:r>
        <w:rPr>
          <w:rFonts w:hint="eastAsia"/>
          <w:color w:val="000000"/>
          <w:kern w:val="0"/>
          <w:szCs w:val="22"/>
          <w:lang w:val="zh-CN"/>
        </w:rPr>
        <w:t xml:space="preserve"> ℃±2 ℃电热恒温干燥箱中干燥至质量恒定。</w:t>
      </w:r>
    </w:p>
    <w:p w14:paraId="0E412BB8">
      <w:pPr>
        <w:pStyle w:val="48"/>
        <w:spacing w:before="156" w:after="156"/>
        <w:rPr>
          <w:lang w:val="zh-CN"/>
        </w:rPr>
      </w:pPr>
      <w:r>
        <w:rPr>
          <w:rFonts w:hint="eastAsia"/>
        </w:rPr>
        <w:t>试验数据处理</w:t>
      </w:r>
    </w:p>
    <w:p w14:paraId="51E9C150">
      <w:pPr>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水不溶物含量以质量分数</w:t>
      </w:r>
      <w:r>
        <w:rPr>
          <w:rFonts w:hint="eastAsia"/>
          <w:i/>
          <w:color w:val="000000"/>
          <w:kern w:val="0"/>
          <w:szCs w:val="22"/>
          <w:lang w:val="zh-CN"/>
        </w:rPr>
        <w:t>w</w:t>
      </w:r>
      <w:r>
        <w:rPr>
          <w:rFonts w:hint="eastAsia"/>
          <w:color w:val="000000"/>
          <w:kern w:val="0"/>
          <w:szCs w:val="22"/>
          <w:vertAlign w:val="subscript"/>
        </w:rPr>
        <w:t>4</w:t>
      </w:r>
      <w:r>
        <w:rPr>
          <w:rFonts w:hint="eastAsia"/>
          <w:color w:val="000000"/>
          <w:kern w:val="0"/>
          <w:szCs w:val="22"/>
          <w:lang w:val="zh-CN"/>
        </w:rPr>
        <w:t>计，按公式</w:t>
      </w:r>
      <w:r>
        <w:rPr>
          <w:color w:val="000000"/>
          <w:kern w:val="0"/>
          <w:szCs w:val="22"/>
          <w:lang w:val="zh-CN"/>
        </w:rPr>
        <w:t>（</w:t>
      </w:r>
      <w:r>
        <w:rPr>
          <w:rFonts w:hint="eastAsia"/>
          <w:color w:val="000000"/>
          <w:kern w:val="0"/>
          <w:szCs w:val="22"/>
          <w:lang w:val="en-US" w:eastAsia="zh-CN"/>
        </w:rPr>
        <w:t>4</w:t>
      </w:r>
      <w:r>
        <w:rPr>
          <w:color w:val="000000"/>
          <w:kern w:val="0"/>
          <w:szCs w:val="22"/>
          <w:lang w:val="zh-CN"/>
        </w:rPr>
        <w:t>）</w:t>
      </w:r>
      <w:r>
        <w:rPr>
          <w:rFonts w:hint="eastAsia"/>
          <w:color w:val="000000"/>
          <w:kern w:val="0"/>
          <w:szCs w:val="22"/>
          <w:lang w:val="zh-CN"/>
        </w:rPr>
        <w:t>计算：</w:t>
      </w:r>
    </w:p>
    <w:p w14:paraId="1D261896">
      <w:pPr>
        <w:autoSpaceDE w:val="0"/>
        <w:autoSpaceDN w:val="0"/>
        <w:adjustRightInd w:val="0"/>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position w:val="-24"/>
          <w:szCs w:val="22"/>
          <w:lang w:val="zh-CN"/>
        </w:rPr>
        <w:object>
          <v:shape id="_x0000_i1028" o:spt="75" type="#_x0000_t75" style="height:31.1pt;width:103.1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hint="eastAsia" w:ascii="宋体" w:hAnsi="宋体"/>
          <w:color w:val="000000"/>
          <w:kern w:val="0"/>
          <w:szCs w:val="22"/>
          <w:lang w:val="zh-CN"/>
        </w:rPr>
        <w:t xml:space="preserve"> </w:t>
      </w:r>
      <w:r>
        <w:rPr>
          <w:rFonts w:ascii="宋体" w:hAnsi="宋体"/>
          <w:color w:val="000000"/>
          <w:kern w:val="0"/>
          <w:szCs w:val="22"/>
          <w:lang w:val="zh-CN"/>
        </w:rPr>
        <w:t>………………………………………</w:t>
      </w:r>
      <w:r>
        <w:rPr>
          <w:color w:val="000000"/>
          <w:kern w:val="0"/>
          <w:szCs w:val="22"/>
          <w:lang w:val="zh-CN"/>
        </w:rPr>
        <w:t>（</w:t>
      </w:r>
      <w:r>
        <w:rPr>
          <w:rFonts w:hint="eastAsia"/>
          <w:color w:val="000000"/>
          <w:kern w:val="0"/>
          <w:szCs w:val="22"/>
          <w:lang w:val="en-US" w:eastAsia="zh-CN"/>
        </w:rPr>
        <w:t>4</w:t>
      </w:r>
      <w:r>
        <w:rPr>
          <w:color w:val="000000"/>
          <w:kern w:val="0"/>
          <w:szCs w:val="22"/>
          <w:lang w:val="zh-CN"/>
        </w:rPr>
        <w:t>）</w:t>
      </w:r>
    </w:p>
    <w:p w14:paraId="632935DE">
      <w:pPr>
        <w:autoSpaceDE w:val="0"/>
        <w:autoSpaceDN w:val="0"/>
        <w:adjustRightInd w:val="0"/>
        <w:spacing w:line="360" w:lineRule="exact"/>
        <w:ind w:firstLine="420" w:firstLineChars="200"/>
        <w:rPr>
          <w:color w:val="000000"/>
          <w:kern w:val="0"/>
          <w:szCs w:val="22"/>
          <w:lang w:val="zh-CN"/>
        </w:rPr>
      </w:pPr>
      <w:r>
        <w:rPr>
          <w:rFonts w:hint="eastAsia"/>
          <w:color w:val="000000"/>
          <w:kern w:val="0"/>
          <w:szCs w:val="22"/>
          <w:lang w:val="zh-CN"/>
        </w:rPr>
        <w:t>式中：</w:t>
      </w:r>
    </w:p>
    <w:p w14:paraId="4F346A3B">
      <w:pPr>
        <w:autoSpaceDE w:val="0"/>
        <w:autoSpaceDN w:val="0"/>
        <w:adjustRightInd w:val="0"/>
        <w:spacing w:line="360" w:lineRule="exact"/>
        <w:ind w:firstLine="420" w:firstLineChars="200"/>
        <w:rPr>
          <w:color w:val="000000"/>
          <w:kern w:val="0"/>
          <w:szCs w:val="22"/>
          <w:lang w:val="zh-CN"/>
        </w:rPr>
      </w:pPr>
      <w:r>
        <w:rPr>
          <w:rFonts w:hint="eastAsia"/>
          <w:i/>
          <w:color w:val="000000"/>
          <w:kern w:val="0"/>
          <w:szCs w:val="22"/>
          <w:lang w:val="zh-CN"/>
        </w:rPr>
        <w:t>m</w:t>
      </w:r>
      <w:r>
        <w:rPr>
          <w:rFonts w:hint="eastAsia"/>
          <w:color w:val="000000"/>
          <w:kern w:val="0"/>
          <w:szCs w:val="22"/>
          <w:vertAlign w:val="subscript"/>
          <w:lang w:val="zh-CN"/>
        </w:rPr>
        <w:t>1</w:t>
      </w:r>
      <w:r>
        <w:rPr>
          <w:color w:val="000000"/>
          <w:kern w:val="0"/>
          <w:szCs w:val="22"/>
          <w:lang w:val="zh-CN"/>
        </w:rPr>
        <w:t>——</w:t>
      </w:r>
      <w:r>
        <w:rPr>
          <w:rFonts w:hint="eastAsia"/>
          <w:color w:val="000000"/>
          <w:kern w:val="0"/>
          <w:szCs w:val="22"/>
          <w:lang w:val="zh-CN"/>
        </w:rPr>
        <w:t>水不溶物和玻璃砂坩埚的质量的数值，单位为克（</w:t>
      </w:r>
      <w:r>
        <w:rPr>
          <w:color w:val="000000"/>
          <w:kern w:val="0"/>
          <w:szCs w:val="22"/>
          <w:lang w:val="zh-CN"/>
        </w:rPr>
        <w:t>g</w:t>
      </w:r>
      <w:r>
        <w:rPr>
          <w:rFonts w:hint="eastAsia"/>
          <w:color w:val="000000"/>
          <w:kern w:val="0"/>
          <w:szCs w:val="22"/>
          <w:lang w:val="zh-CN"/>
        </w:rPr>
        <w:t>）；</w:t>
      </w:r>
    </w:p>
    <w:p w14:paraId="413899DD">
      <w:pPr>
        <w:autoSpaceDE w:val="0"/>
        <w:autoSpaceDN w:val="0"/>
        <w:adjustRightInd w:val="0"/>
        <w:spacing w:line="360" w:lineRule="exact"/>
        <w:ind w:firstLine="420" w:firstLineChars="200"/>
        <w:rPr>
          <w:color w:val="000000"/>
          <w:kern w:val="0"/>
          <w:szCs w:val="22"/>
          <w:lang w:val="zh-CN"/>
        </w:rPr>
      </w:pPr>
      <w:r>
        <w:rPr>
          <w:i/>
          <w:color w:val="000000"/>
          <w:kern w:val="0"/>
          <w:szCs w:val="22"/>
          <w:lang w:val="zh-CN"/>
        </w:rPr>
        <w:t>m</w:t>
      </w:r>
      <w:r>
        <w:rPr>
          <w:rFonts w:hint="eastAsia"/>
          <w:color w:val="000000"/>
          <w:kern w:val="0"/>
          <w:szCs w:val="22"/>
          <w:vertAlign w:val="subscript"/>
          <w:lang w:val="zh-CN"/>
        </w:rPr>
        <w:t>2</w:t>
      </w:r>
      <w:r>
        <w:rPr>
          <w:rFonts w:hint="eastAsia"/>
          <w:color w:val="000000"/>
          <w:kern w:val="0"/>
          <w:szCs w:val="22"/>
          <w:lang w:val="zh-CN"/>
        </w:rPr>
        <w:t>——玻璃砂坩埚的质量的数值，单位为克（</w:t>
      </w:r>
      <w:r>
        <w:rPr>
          <w:color w:val="000000"/>
          <w:kern w:val="0"/>
          <w:szCs w:val="22"/>
          <w:lang w:val="zh-CN"/>
        </w:rPr>
        <w:t>g</w:t>
      </w:r>
      <w:r>
        <w:rPr>
          <w:rFonts w:hint="eastAsia"/>
          <w:color w:val="000000"/>
          <w:kern w:val="0"/>
          <w:szCs w:val="22"/>
          <w:lang w:val="zh-CN"/>
        </w:rPr>
        <w:t>）；</w:t>
      </w:r>
    </w:p>
    <w:p w14:paraId="007618CC">
      <w:pPr>
        <w:autoSpaceDE w:val="0"/>
        <w:autoSpaceDN w:val="0"/>
        <w:adjustRightInd w:val="0"/>
        <w:spacing w:line="360" w:lineRule="exact"/>
        <w:ind w:firstLine="525" w:firstLineChars="250"/>
        <w:rPr>
          <w:color w:val="000000"/>
          <w:kern w:val="0"/>
          <w:szCs w:val="22"/>
          <w:lang w:val="zh-CN"/>
        </w:rPr>
      </w:pPr>
      <w:r>
        <w:rPr>
          <w:i/>
          <w:color w:val="000000"/>
          <w:kern w:val="0"/>
          <w:szCs w:val="22"/>
          <w:lang w:val="zh-CN"/>
        </w:rPr>
        <w:t>m</w:t>
      </w:r>
      <w:r>
        <w:rPr>
          <w:color w:val="000000"/>
          <w:kern w:val="0"/>
          <w:szCs w:val="22"/>
          <w:lang w:val="zh-CN"/>
        </w:rPr>
        <w:t>——</w:t>
      </w:r>
      <w:r>
        <w:rPr>
          <w:rFonts w:hint="eastAsia"/>
          <w:color w:val="000000"/>
          <w:kern w:val="0"/>
          <w:szCs w:val="22"/>
          <w:lang w:val="zh-CN"/>
        </w:rPr>
        <w:t>试料的质量的数值，单位克（g）。</w:t>
      </w:r>
    </w:p>
    <w:p w14:paraId="598196BE">
      <w:pPr>
        <w:autoSpaceDE w:val="0"/>
        <w:autoSpaceDN w:val="0"/>
        <w:adjustRightInd w:val="0"/>
        <w:spacing w:line="360" w:lineRule="exact"/>
        <w:ind w:firstLine="420" w:firstLineChars="200"/>
        <w:rPr>
          <w:color w:val="000000"/>
          <w:kern w:val="0"/>
          <w:szCs w:val="22"/>
          <w:lang w:val="zh-CN"/>
        </w:rPr>
      </w:pPr>
      <w:r>
        <w:rPr>
          <w:rFonts w:hint="eastAsia"/>
          <w:color w:val="000000"/>
          <w:kern w:val="0"/>
          <w:szCs w:val="22"/>
          <w:lang w:val="zh-CN"/>
        </w:rPr>
        <w:t>取平行测定结果的算术平均值为测定结果，两次平行测定结果的绝对差值不大于</w:t>
      </w:r>
      <w:r>
        <w:rPr>
          <w:color w:val="000000"/>
          <w:kern w:val="0"/>
          <w:szCs w:val="22"/>
          <w:lang w:val="zh-CN"/>
        </w:rPr>
        <w:t>0</w:t>
      </w:r>
      <w:r>
        <w:rPr>
          <w:rFonts w:hint="eastAsia"/>
          <w:color w:val="000000"/>
          <w:kern w:val="0"/>
          <w:szCs w:val="22"/>
          <w:lang w:val="zh-CN"/>
        </w:rPr>
        <w:t>.</w:t>
      </w:r>
      <w:r>
        <w:rPr>
          <w:color w:val="000000"/>
          <w:kern w:val="0"/>
          <w:szCs w:val="22"/>
          <w:lang w:val="zh-CN"/>
        </w:rPr>
        <w:t>05</w:t>
      </w:r>
      <w:r>
        <w:rPr>
          <w:rFonts w:hint="eastAsia"/>
          <w:color w:val="000000"/>
          <w:kern w:val="0"/>
          <w:szCs w:val="22"/>
          <w:lang w:val="zh-CN"/>
        </w:rPr>
        <w:t xml:space="preserve"> ％。</w:t>
      </w:r>
    </w:p>
    <w:p w14:paraId="5EEB77C5">
      <w:pPr>
        <w:pStyle w:val="44"/>
        <w:spacing w:before="156" w:after="156" w:line="360" w:lineRule="exact"/>
      </w:pPr>
      <w:r>
        <w:t>氯化物含量的测定</w:t>
      </w:r>
    </w:p>
    <w:p w14:paraId="22F24E05">
      <w:pPr>
        <w:pStyle w:val="48"/>
        <w:bidi w:val="0"/>
        <w:ind w:left="0" w:leftChars="0" w:firstLine="0" w:firstLineChars="0"/>
      </w:pPr>
      <w:r>
        <w:rPr>
          <w:rFonts w:hint="eastAsia"/>
        </w:rPr>
        <w:t>离子色谱法</w:t>
      </w:r>
      <w:r>
        <w:rPr>
          <w:rFonts w:hint="eastAsia"/>
          <w:lang w:eastAsia="zh-CN"/>
        </w:rPr>
        <w:t>（</w:t>
      </w:r>
      <w:r>
        <w:rPr>
          <w:rFonts w:hint="eastAsia"/>
          <w:lang w:val="en-US" w:eastAsia="zh-CN"/>
        </w:rPr>
        <w:t>仲裁法</w:t>
      </w:r>
      <w:r>
        <w:rPr>
          <w:rFonts w:hint="eastAsia"/>
          <w:lang w:eastAsia="zh-CN"/>
        </w:rPr>
        <w:t>）</w:t>
      </w:r>
    </w:p>
    <w:p w14:paraId="7A5576DC">
      <w:pPr>
        <w:pStyle w:val="53"/>
        <w:bidi w:val="0"/>
        <w:ind w:left="0" w:leftChars="0" w:firstLine="0" w:firstLineChars="0"/>
      </w:pPr>
      <w:r>
        <w:rPr>
          <w:rFonts w:hint="eastAsia"/>
        </w:rPr>
        <w:t>原理</w:t>
      </w:r>
    </w:p>
    <w:p w14:paraId="4DD97DCA">
      <w:pPr>
        <w:widowControl/>
        <w:tabs>
          <w:tab w:val="center" w:pos="4201"/>
          <w:tab w:val="right" w:leader="dot" w:pos="9298"/>
        </w:tabs>
        <w:autoSpaceDE w:val="0"/>
        <w:autoSpaceDN w:val="0"/>
        <w:spacing w:line="360" w:lineRule="exact"/>
        <w:ind w:firstLine="420" w:firstLineChars="200"/>
        <w:rPr>
          <w:rFonts w:ascii="宋体"/>
          <w:kern w:val="0"/>
          <w:szCs w:val="20"/>
        </w:rPr>
      </w:pPr>
      <w:bookmarkStart w:id="20" w:name="_Hlk117603258"/>
      <w:r>
        <w:rPr>
          <w:rFonts w:hint="eastAsia" w:hAnsi="宋体"/>
        </w:rPr>
        <w:t>试样溶解后，试验溶液中的氟离子、硫酸根和氯离子经阴离子色谱柱交换分离，用抑制型电导检测器检测，根据保留时间定性，以峰高或峰面积定量</w:t>
      </w:r>
      <w:r>
        <w:rPr>
          <w:rFonts w:hint="eastAsia" w:ascii="宋体" w:hAnsi="宋体"/>
          <w:kern w:val="0"/>
        </w:rPr>
        <w:t>。</w:t>
      </w:r>
    </w:p>
    <w:bookmarkEnd w:id="20"/>
    <w:p w14:paraId="6C88D31E">
      <w:pPr>
        <w:pStyle w:val="53"/>
        <w:bidi w:val="0"/>
        <w:ind w:left="0" w:leftChars="0" w:firstLine="0" w:firstLineChars="0"/>
      </w:pPr>
      <w:r>
        <w:rPr>
          <w:rFonts w:hint="eastAsia"/>
        </w:rPr>
        <w:t>试剂或材料</w:t>
      </w:r>
    </w:p>
    <w:p w14:paraId="63A319C7">
      <w:pPr>
        <w:pStyle w:val="12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氯化物标准溶液：1</w:t>
      </w:r>
      <w:r>
        <w:rPr>
          <w:rFonts w:hint="eastAsia" w:ascii="Times New Roman" w:cs="Times New Roman"/>
          <w:lang w:val="en-US" w:eastAsia="zh-CN"/>
        </w:rPr>
        <w:t>0</w:t>
      </w:r>
      <w:r>
        <w:rPr>
          <w:rFonts w:hint="default" w:ascii="Times New Roman" w:hAnsi="Times New Roman" w:cs="Times New Roman"/>
        </w:rPr>
        <w:t xml:space="preserve"> mL溶液含氯化物（以Cl计）0.10 mg</w:t>
      </w:r>
      <w:bookmarkStart w:id="21" w:name="_Hlk112934466"/>
      <w:r>
        <w:rPr>
          <w:rFonts w:hint="default" w:ascii="Times New Roman" w:hAnsi="Times New Roman" w:cs="Times New Roman"/>
          <w:lang w:eastAsia="zh-CN"/>
        </w:rPr>
        <w:t>。</w:t>
      </w:r>
      <w:r>
        <w:rPr>
          <w:rFonts w:hint="default" w:ascii="Times New Roman" w:hAnsi="Times New Roman" w:cs="Times New Roman"/>
        </w:rPr>
        <w:t>用移液管分别移取1 mL按HG/T 3696.2配制的氯化物（以Cl计）标准贮备溶液</w:t>
      </w:r>
      <w:bookmarkEnd w:id="21"/>
      <w:r>
        <w:rPr>
          <w:rFonts w:hint="default" w:ascii="Times New Roman" w:hAnsi="Times New Roman" w:cs="Times New Roman"/>
        </w:rPr>
        <w:t>置于100 mL容量瓶中，用水稀释至刻度，摇匀。该溶液</w:t>
      </w:r>
      <w:r>
        <w:rPr>
          <w:rFonts w:hint="default" w:ascii="Times New Roman" w:hAnsi="Times New Roman" w:cs="Times New Roman"/>
          <w:lang w:val="en-US" w:eastAsia="zh-CN"/>
        </w:rPr>
        <w:t>使用前配制</w:t>
      </w:r>
      <w:r>
        <w:rPr>
          <w:rFonts w:hint="default" w:ascii="Times New Roman" w:hAnsi="Times New Roman" w:cs="Times New Roman"/>
        </w:rPr>
        <w:t>。</w:t>
      </w:r>
    </w:p>
    <w:p w14:paraId="7AB558B6">
      <w:pPr>
        <w:pStyle w:val="120"/>
        <w:keepNext w:val="0"/>
        <w:keepLines w:val="0"/>
        <w:pageBreakBefore w:val="0"/>
        <w:widowControl/>
        <w:kinsoku/>
        <w:wordWrap/>
        <w:overflowPunct/>
        <w:topLinePunct w:val="0"/>
        <w:autoSpaceDE/>
        <w:autoSpaceDN/>
        <w:bidi w:val="0"/>
        <w:adjustRightInd/>
        <w:snapToGrid/>
        <w:spacing w:line="360" w:lineRule="exact"/>
        <w:textAlignment w:val="auto"/>
        <w:rPr>
          <w:rFonts w:hint="default" w:ascii="Times New Roman" w:hAnsi="Times New Roman" w:cs="Times New Roman"/>
        </w:rPr>
      </w:pPr>
      <w:r>
        <w:rPr>
          <w:rFonts w:hint="default" w:ascii="Times New Roman" w:hAnsi="Times New Roman" w:cs="Times New Roman"/>
        </w:rPr>
        <w:t>水：电导率（25 ℃）不大于0.005 5 mS/m。</w:t>
      </w:r>
    </w:p>
    <w:p w14:paraId="6675056E">
      <w:pPr>
        <w:pStyle w:val="53"/>
        <w:bidi w:val="0"/>
        <w:ind w:left="0" w:leftChars="0" w:firstLine="0" w:firstLineChars="0"/>
        <w:rPr>
          <w:rFonts w:hint="eastAsia" w:hAnsi="Times New Roman" w:cs="Times New Roman"/>
        </w:rPr>
      </w:pPr>
      <w:r>
        <w:rPr>
          <w:rFonts w:hint="eastAsia" w:hAnsi="Times New Roman" w:cs="Times New Roman"/>
        </w:rPr>
        <w:t>仪器设备</w:t>
      </w:r>
    </w:p>
    <w:p w14:paraId="3B9D6ADC">
      <w:pPr>
        <w:pStyle w:val="120"/>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Times New Roman" w:hAnsi="Times New Roman" w:eastAsia="宋体" w:cs="Times New Roman"/>
        </w:rPr>
      </w:pPr>
      <w:r>
        <w:rPr>
          <w:rFonts w:hint="eastAsia" w:ascii="Times New Roman" w:hAnsi="Times New Roman" w:eastAsia="宋体" w:cs="Times New Roman"/>
        </w:rPr>
        <w:t>离子色谱仪，配备如下：</w:t>
      </w:r>
    </w:p>
    <w:p w14:paraId="4133B869">
      <w:pPr>
        <w:pStyle w:val="57"/>
        <w:numPr>
          <w:ilvl w:val="0"/>
          <w:numId w:val="12"/>
        </w:numPr>
        <w:spacing w:before="0" w:beforeLines="0" w:after="0" w:afterLines="0" w:line="360" w:lineRule="exact"/>
        <w:ind w:firstLine="6"/>
        <w:rPr>
          <w:rFonts w:ascii="Times New Roman" w:eastAsia="宋体"/>
        </w:rPr>
      </w:pPr>
      <w:r>
        <w:rPr>
          <w:rFonts w:ascii="Times New Roman" w:eastAsia="宋体"/>
        </w:rPr>
        <w:t>色谱柱：</w:t>
      </w:r>
      <w:r>
        <w:rPr>
          <w:rFonts w:hint="eastAsia" w:ascii="Times New Roman" w:eastAsia="宋体"/>
        </w:rPr>
        <w:t>阴离子分离柱和阴离子保护柱</w:t>
      </w:r>
      <w:r>
        <w:rPr>
          <w:rFonts w:hint="eastAsia" w:ascii="Times New Roman" w:eastAsia="宋体"/>
          <w:lang w:eastAsia="zh-CN"/>
        </w:rPr>
        <w:t>，</w:t>
      </w:r>
      <w:r>
        <w:rPr>
          <w:rFonts w:hint="eastAsia" w:ascii="Times New Roman" w:eastAsia="宋体"/>
        </w:rPr>
        <w:t>待测阴离子的分离度不低于 1.5；</w:t>
      </w:r>
    </w:p>
    <w:p w14:paraId="4A20A640">
      <w:pPr>
        <w:pStyle w:val="57"/>
        <w:numPr>
          <w:ilvl w:val="0"/>
          <w:numId w:val="12"/>
        </w:numPr>
        <w:spacing w:before="0" w:beforeLines="0" w:after="0" w:afterLines="0" w:line="360" w:lineRule="exact"/>
        <w:ind w:firstLine="6"/>
        <w:rPr>
          <w:rFonts w:ascii="Times New Roman" w:eastAsia="宋体"/>
        </w:rPr>
      </w:pPr>
      <w:r>
        <w:rPr>
          <w:rFonts w:hint="eastAsia" w:ascii="Times New Roman" w:eastAsia="宋体"/>
        </w:rPr>
        <w:t>阴离子</w:t>
      </w:r>
      <w:r>
        <w:rPr>
          <w:rFonts w:ascii="Times New Roman" w:eastAsia="宋体"/>
        </w:rPr>
        <w:t>抑制器</w:t>
      </w:r>
      <w:r>
        <w:rPr>
          <w:rFonts w:hint="eastAsia" w:ascii="Times New Roman" w:eastAsia="宋体"/>
        </w:rPr>
        <w:t>；</w:t>
      </w:r>
    </w:p>
    <w:p w14:paraId="666D2EED">
      <w:pPr>
        <w:pStyle w:val="57"/>
        <w:numPr>
          <w:ilvl w:val="0"/>
          <w:numId w:val="12"/>
        </w:numPr>
        <w:spacing w:before="0" w:beforeLines="0" w:after="0" w:afterLines="0" w:line="360" w:lineRule="exact"/>
        <w:ind w:firstLine="6"/>
        <w:rPr>
          <w:rFonts w:hint="eastAsia" w:ascii="宋体" w:hAnsi="宋体" w:eastAsia="宋体"/>
        </w:rPr>
      </w:pPr>
      <w:r>
        <w:rPr>
          <w:rFonts w:hint="eastAsia" w:ascii="Times New Roman" w:eastAsia="宋体"/>
        </w:rPr>
        <w:t>电导</w:t>
      </w:r>
      <w:r>
        <w:rPr>
          <w:rFonts w:ascii="Times New Roman" w:eastAsia="宋体"/>
        </w:rPr>
        <w:t>检测器</w:t>
      </w:r>
      <w:r>
        <w:rPr>
          <w:rFonts w:hint="eastAsia" w:ascii="宋体" w:hAnsi="宋体" w:eastAsia="宋体"/>
        </w:rPr>
        <w:t>；</w:t>
      </w:r>
    </w:p>
    <w:p w14:paraId="2EF21B2C">
      <w:pPr>
        <w:pStyle w:val="24"/>
        <w:numPr>
          <w:ilvl w:val="0"/>
          <w:numId w:val="12"/>
        </w:numPr>
        <w:tabs>
          <w:tab w:val="clear" w:pos="4201"/>
          <w:tab w:val="clear" w:pos="9298"/>
        </w:tabs>
        <w:spacing w:line="360" w:lineRule="exact"/>
        <w:ind w:firstLine="6" w:firstLineChars="0"/>
        <w:jc w:val="left"/>
      </w:pPr>
      <w:r>
        <w:rPr>
          <w:rFonts w:hint="eastAsia"/>
        </w:rPr>
        <w:t>数据处理系统。</w:t>
      </w:r>
    </w:p>
    <w:p w14:paraId="3C0B599B">
      <w:pPr>
        <w:pStyle w:val="120"/>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Times New Roman" w:hAnsi="Times New Roman" w:eastAsia="宋体" w:cs="Times New Roman"/>
        </w:rPr>
      </w:pPr>
      <w:r>
        <w:rPr>
          <w:rFonts w:hint="eastAsia" w:ascii="Times New Roman" w:hAnsi="Times New Roman" w:eastAsia="宋体" w:cs="Times New Roman"/>
        </w:rPr>
        <w:t>水性微孔滤膜：孔径不大于0.45 µm。</w:t>
      </w:r>
    </w:p>
    <w:p w14:paraId="5AD2DF56">
      <w:pPr>
        <w:pStyle w:val="120"/>
        <w:keepNext w:val="0"/>
        <w:keepLines w:val="0"/>
        <w:pageBreakBefore w:val="0"/>
        <w:widowControl/>
        <w:kinsoku/>
        <w:wordWrap/>
        <w:overflowPunct/>
        <w:topLinePunct w:val="0"/>
        <w:autoSpaceDE/>
        <w:autoSpaceDN/>
        <w:bidi w:val="0"/>
        <w:adjustRightInd/>
        <w:snapToGrid/>
        <w:spacing w:line="360" w:lineRule="exact"/>
        <w:textAlignment w:val="auto"/>
        <w:rPr>
          <w:rFonts w:hint="eastAsia" w:ascii="Times New Roman" w:hAnsi="Times New Roman" w:eastAsia="宋体" w:cs="Times New Roman"/>
        </w:rPr>
      </w:pPr>
      <w:r>
        <w:rPr>
          <w:rFonts w:hint="eastAsia" w:ascii="Times New Roman" w:hAnsi="Times New Roman" w:eastAsia="宋体" w:cs="Times New Roman"/>
        </w:rPr>
        <w:t>移液管（枪）。</w:t>
      </w:r>
    </w:p>
    <w:p w14:paraId="204BD7B3">
      <w:pPr>
        <w:pStyle w:val="53"/>
        <w:bidi w:val="0"/>
        <w:ind w:left="0" w:leftChars="0" w:firstLine="0" w:firstLineChars="0"/>
        <w:rPr>
          <w:rFonts w:hint="eastAsia" w:hAnsi="Times New Roman" w:cs="Times New Roman"/>
        </w:rPr>
      </w:pPr>
      <w:r>
        <w:rPr>
          <w:rFonts w:hint="eastAsia" w:hAnsi="Times New Roman" w:cs="Times New Roman"/>
        </w:rPr>
        <w:t>试验步骤</w:t>
      </w:r>
    </w:p>
    <w:p w14:paraId="2B24F213">
      <w:pPr>
        <w:pStyle w:val="57"/>
        <w:bidi w:val="0"/>
        <w:ind w:left="0" w:leftChars="0" w:firstLine="0" w:firstLineChars="0"/>
      </w:pPr>
      <w:r>
        <w:rPr>
          <w:rFonts w:hint="eastAsia"/>
        </w:rPr>
        <w:t>标准曲线的绘制</w:t>
      </w:r>
    </w:p>
    <w:p w14:paraId="1B53578B">
      <w:pPr>
        <w:autoSpaceDE w:val="0"/>
        <w:autoSpaceDN w:val="0"/>
        <w:spacing w:line="360" w:lineRule="exact"/>
        <w:ind w:firstLine="420" w:firstLineChars="200"/>
        <w:jc w:val="left"/>
        <w:rPr>
          <w:rFonts w:ascii="Times New Roman" w:hAnsi="Times New Roman"/>
          <w:kern w:val="0"/>
        </w:rPr>
      </w:pPr>
      <w:r>
        <w:rPr>
          <w:rFonts w:hint="eastAsia" w:ascii="Times New Roman" w:hAnsi="Times New Roman"/>
          <w:kern w:val="0"/>
        </w:rPr>
        <w:t>分别移取</w:t>
      </w:r>
      <w:r>
        <w:rPr>
          <w:rFonts w:ascii="Times New Roman" w:hAnsi="Times New Roman"/>
          <w:kern w:val="0"/>
        </w:rPr>
        <w:t>0 mL</w:t>
      </w:r>
      <w:r>
        <w:rPr>
          <w:rFonts w:hint="eastAsia" w:ascii="Times New Roman" w:hAnsi="Times New Roman"/>
          <w:kern w:val="0"/>
        </w:rPr>
        <w:t>、</w:t>
      </w:r>
      <w:r>
        <w:rPr>
          <w:rFonts w:ascii="Times New Roman" w:hAnsi="Times New Roman"/>
          <w:kern w:val="0"/>
        </w:rPr>
        <w:t>2.00 mL</w:t>
      </w:r>
      <w:r>
        <w:rPr>
          <w:rFonts w:hint="eastAsia" w:ascii="Times New Roman" w:hAnsi="Times New Roman"/>
          <w:kern w:val="0"/>
        </w:rPr>
        <w:t>、</w:t>
      </w:r>
      <w:r>
        <w:rPr>
          <w:rFonts w:ascii="Times New Roman" w:hAnsi="Times New Roman"/>
          <w:kern w:val="0"/>
        </w:rPr>
        <w:t>4.00 mL</w:t>
      </w:r>
      <w:r>
        <w:rPr>
          <w:rFonts w:hint="eastAsia" w:ascii="Times New Roman" w:hAnsi="Times New Roman"/>
          <w:kern w:val="0"/>
        </w:rPr>
        <w:t>、</w:t>
      </w:r>
      <w:r>
        <w:rPr>
          <w:rFonts w:ascii="Times New Roman" w:hAnsi="Times New Roman"/>
          <w:kern w:val="0"/>
        </w:rPr>
        <w:t>6.00 mL</w:t>
      </w:r>
      <w:r>
        <w:rPr>
          <w:rFonts w:hint="eastAsia" w:ascii="Times New Roman" w:hAnsi="Times New Roman"/>
          <w:kern w:val="0"/>
        </w:rPr>
        <w:t>、</w:t>
      </w:r>
      <w:r>
        <w:rPr>
          <w:rFonts w:ascii="Times New Roman" w:hAnsi="Times New Roman"/>
          <w:kern w:val="0"/>
        </w:rPr>
        <w:t>8.00 mL</w:t>
      </w:r>
      <w:r>
        <w:rPr>
          <w:rFonts w:hint="eastAsia" w:ascii="Times New Roman" w:hAnsi="Times New Roman"/>
          <w:kern w:val="0"/>
        </w:rPr>
        <w:t>氯化物标准溶液，置于</w:t>
      </w:r>
      <w:r>
        <w:rPr>
          <w:rFonts w:ascii="Times New Roman" w:hAnsi="Times New Roman"/>
          <w:kern w:val="0"/>
        </w:rPr>
        <w:t>5</w:t>
      </w:r>
      <w:r>
        <w:rPr>
          <w:rFonts w:hint="eastAsia" w:ascii="Times New Roman" w:hAnsi="Times New Roman"/>
          <w:kern w:val="0"/>
        </w:rPr>
        <w:t>个</w:t>
      </w:r>
      <w:r>
        <w:rPr>
          <w:rFonts w:ascii="Times New Roman" w:hAnsi="Times New Roman"/>
          <w:kern w:val="0"/>
        </w:rPr>
        <w:t xml:space="preserve"> 100 mL</w:t>
      </w:r>
      <w:r>
        <w:rPr>
          <w:rFonts w:hint="eastAsia" w:ascii="Times New Roman" w:hAnsi="Times New Roman"/>
          <w:kern w:val="0"/>
        </w:rPr>
        <w:t>容量瓶中，用水稀释至刻度，摇匀</w:t>
      </w:r>
      <w:r>
        <w:rPr>
          <w:rFonts w:hint="eastAsia" w:ascii="Times New Roman" w:hAnsi="Times New Roman"/>
          <w:kern w:val="0"/>
          <w:lang w:eastAsia="zh-CN"/>
        </w:rPr>
        <w:t>。</w:t>
      </w:r>
      <w:r>
        <w:rPr>
          <w:rFonts w:hint="eastAsia" w:ascii="Times New Roman" w:hAnsi="Times New Roman"/>
          <w:kern w:val="0"/>
          <w:lang w:val="en-US" w:eastAsia="zh-CN"/>
        </w:rPr>
        <w:t>此系列</w:t>
      </w:r>
      <w:r>
        <w:rPr>
          <w:rFonts w:hint="eastAsia" w:ascii="Times New Roman" w:hAnsi="Times New Roman"/>
          <w:kern w:val="0"/>
        </w:rPr>
        <w:t>标准溶液</w:t>
      </w:r>
      <w:r>
        <w:rPr>
          <w:rFonts w:hint="eastAsia" w:ascii="Times New Roman" w:hAnsi="Times New Roman"/>
          <w:kern w:val="0"/>
          <w:lang w:val="en-US" w:eastAsia="zh-CN"/>
        </w:rPr>
        <w:t>中氯离子的</w:t>
      </w:r>
      <w:r>
        <w:rPr>
          <w:rFonts w:hint="eastAsia" w:ascii="Times New Roman" w:hAnsi="Times New Roman"/>
          <w:kern w:val="0"/>
        </w:rPr>
        <w:t>质量浓度分别为</w:t>
      </w:r>
      <w:r>
        <w:rPr>
          <w:rFonts w:ascii="Times New Roman" w:hAnsi="Times New Roman"/>
          <w:kern w:val="0"/>
        </w:rPr>
        <w:t>0</w:t>
      </w:r>
      <w:r>
        <w:rPr>
          <w:rFonts w:hint="eastAsia" w:ascii="Times New Roman" w:hAnsi="Times New Roman"/>
        </w:rPr>
        <w:t xml:space="preserve"> mg/L</w:t>
      </w:r>
      <w:r>
        <w:rPr>
          <w:rFonts w:hint="eastAsia" w:ascii="Times New Roman" w:hAnsi="Times New Roman"/>
          <w:kern w:val="0"/>
        </w:rPr>
        <w:t>、</w:t>
      </w:r>
      <w:r>
        <w:rPr>
          <w:rFonts w:ascii="Times New Roman" w:hAnsi="Times New Roman"/>
          <w:kern w:val="0"/>
        </w:rPr>
        <w:t>2</w:t>
      </w:r>
      <w:r>
        <w:rPr>
          <w:rFonts w:hint="eastAsia" w:ascii="Times New Roman" w:hAnsi="Times New Roman"/>
        </w:rPr>
        <w:t xml:space="preserve"> mg/L</w:t>
      </w:r>
      <w:r>
        <w:rPr>
          <w:rFonts w:hint="eastAsia" w:ascii="Times New Roman" w:hAnsi="Times New Roman"/>
          <w:kern w:val="0"/>
        </w:rPr>
        <w:t>、</w:t>
      </w:r>
      <w:r>
        <w:rPr>
          <w:rFonts w:ascii="Times New Roman" w:hAnsi="Times New Roman"/>
          <w:kern w:val="0"/>
        </w:rPr>
        <w:t xml:space="preserve">4 </w:t>
      </w:r>
      <w:r>
        <w:rPr>
          <w:rFonts w:hint="eastAsia" w:ascii="Times New Roman" w:hAnsi="Times New Roman"/>
        </w:rPr>
        <w:t>mg/L</w:t>
      </w:r>
      <w:r>
        <w:rPr>
          <w:rFonts w:hint="eastAsia" w:ascii="Times New Roman" w:hAnsi="Times New Roman"/>
          <w:kern w:val="0"/>
        </w:rPr>
        <w:t>、</w:t>
      </w:r>
      <w:r>
        <w:rPr>
          <w:rFonts w:ascii="Times New Roman" w:hAnsi="Times New Roman"/>
          <w:kern w:val="0"/>
        </w:rPr>
        <w:t xml:space="preserve">6 </w:t>
      </w:r>
      <w:r>
        <w:rPr>
          <w:rFonts w:hint="eastAsia" w:ascii="Times New Roman" w:hAnsi="Times New Roman"/>
        </w:rPr>
        <w:t>mg/L</w:t>
      </w:r>
      <w:r>
        <w:rPr>
          <w:rFonts w:hint="eastAsia" w:ascii="Times New Roman" w:hAnsi="Times New Roman"/>
          <w:kern w:val="0"/>
        </w:rPr>
        <w:t>、</w:t>
      </w:r>
      <w:r>
        <w:rPr>
          <w:rFonts w:ascii="Times New Roman" w:hAnsi="Times New Roman"/>
          <w:kern w:val="0"/>
        </w:rPr>
        <w:t xml:space="preserve">8 </w:t>
      </w:r>
      <w:r>
        <w:rPr>
          <w:rFonts w:hint="eastAsia" w:ascii="Times New Roman" w:hAnsi="Times New Roman"/>
        </w:rPr>
        <w:t>mg/L</w:t>
      </w:r>
      <w:r>
        <w:rPr>
          <w:rFonts w:hint="eastAsia" w:ascii="Times New Roman" w:hAnsi="Times New Roman"/>
          <w:kern w:val="0"/>
        </w:rPr>
        <w:t>。在最佳仪器条件下（参考的离子色谱条件见附录</w:t>
      </w:r>
      <w:r>
        <w:rPr>
          <w:rFonts w:ascii="Times New Roman" w:hAnsi="Times New Roman"/>
          <w:kern w:val="0"/>
        </w:rPr>
        <w:t>A</w:t>
      </w:r>
      <w:r>
        <w:rPr>
          <w:rFonts w:hint="eastAsia" w:ascii="Times New Roman" w:hAnsi="Times New Roman"/>
          <w:kern w:val="0"/>
        </w:rPr>
        <w:t>），将此</w:t>
      </w:r>
      <w:r>
        <w:rPr>
          <w:rFonts w:hint="eastAsia" w:ascii="Times New Roman" w:hAnsi="Times New Roman"/>
          <w:kern w:val="0"/>
          <w:lang w:val="en-US" w:eastAsia="zh-CN"/>
        </w:rPr>
        <w:t>系列</w:t>
      </w:r>
      <w:r>
        <w:rPr>
          <w:rFonts w:hint="eastAsia" w:ascii="Times New Roman" w:hAnsi="Times New Roman"/>
          <w:kern w:val="0"/>
        </w:rPr>
        <w:t>标准溶液按质量由低至高的顺序依次经过水性微孔滤膜，弃去初始的</w:t>
      </w:r>
      <w:r>
        <w:rPr>
          <w:rFonts w:ascii="Times New Roman" w:hAnsi="Times New Roman"/>
          <w:kern w:val="0"/>
        </w:rPr>
        <w:t>10 mL</w:t>
      </w:r>
      <w:r>
        <w:rPr>
          <w:rFonts w:hint="eastAsia" w:ascii="Times New Roman" w:hAnsi="Times New Roman"/>
          <w:kern w:val="0"/>
        </w:rPr>
        <w:t>滤液，注入离子色谱仪，记录峰高或峰面积。以氯化物的质量</w:t>
      </w:r>
      <w:r>
        <w:rPr>
          <w:rFonts w:hint="eastAsia" w:ascii="Times New Roman" w:hAnsi="Times New Roman"/>
          <w:kern w:val="0"/>
          <w:lang w:val="en-US" w:eastAsia="zh-CN"/>
        </w:rPr>
        <w:t>浓度</w:t>
      </w:r>
      <w:r>
        <w:rPr>
          <w:rFonts w:hint="eastAsia" w:ascii="Times New Roman" w:hAnsi="Times New Roman"/>
          <w:kern w:val="0"/>
          <w:lang w:eastAsia="zh-CN"/>
        </w:rPr>
        <w:t>（</w:t>
      </w:r>
      <w:r>
        <w:rPr>
          <w:rFonts w:hint="eastAsia" w:ascii="Times New Roman" w:hAnsi="Times New Roman"/>
          <w:kern w:val="0"/>
          <w:lang w:val="en-US" w:eastAsia="zh-CN"/>
        </w:rPr>
        <w:t>mg/L</w:t>
      </w:r>
      <w:r>
        <w:rPr>
          <w:rFonts w:hint="eastAsia" w:ascii="Times New Roman" w:hAnsi="Times New Roman"/>
          <w:kern w:val="0"/>
          <w:lang w:eastAsia="zh-CN"/>
        </w:rPr>
        <w:t>）</w:t>
      </w:r>
      <w:r>
        <w:rPr>
          <w:rFonts w:hint="eastAsia" w:ascii="Times New Roman" w:hAnsi="Times New Roman"/>
          <w:kern w:val="0"/>
        </w:rPr>
        <w:t>为横坐标，对应的峰高或峰面积为纵坐标绘制标准曲线。</w:t>
      </w:r>
    </w:p>
    <w:p w14:paraId="7E0C5084">
      <w:pPr>
        <w:pStyle w:val="57"/>
        <w:bidi w:val="0"/>
        <w:ind w:left="0" w:leftChars="0" w:firstLine="0" w:firstLineChars="0"/>
        <w:rPr>
          <w:rFonts w:hint="eastAsia" w:hAnsi="Times New Roman" w:cs="Times New Roman"/>
        </w:rPr>
      </w:pPr>
      <w:r>
        <w:rPr>
          <w:rFonts w:hint="eastAsia" w:hAnsi="Times New Roman" w:cs="Times New Roman"/>
        </w:rPr>
        <w:t>试验</w:t>
      </w:r>
    </w:p>
    <w:p w14:paraId="6D284749">
      <w:pPr>
        <w:autoSpaceDE w:val="0"/>
        <w:autoSpaceDN w:val="0"/>
        <w:spacing w:line="360" w:lineRule="exact"/>
        <w:ind w:firstLine="420" w:firstLineChars="200"/>
        <w:jc w:val="left"/>
        <w:rPr>
          <w:rFonts w:ascii="Times New Roman" w:hAnsi="Times New Roman"/>
          <w:color w:val="FF0000"/>
          <w:kern w:val="0"/>
        </w:rPr>
      </w:pPr>
      <w:r>
        <w:rPr>
          <w:rFonts w:hint="eastAsia" w:ascii="Times New Roman" w:hAnsi="Times New Roman"/>
          <w:kern w:val="0"/>
        </w:rPr>
        <w:t>称取约</w:t>
      </w:r>
      <w:r>
        <w:rPr>
          <w:rFonts w:ascii="Times New Roman" w:hAnsi="Times New Roman"/>
          <w:kern w:val="0"/>
        </w:rPr>
        <w:t>1 g</w:t>
      </w:r>
      <w:r>
        <w:rPr>
          <w:rFonts w:hint="eastAsia" w:ascii="Times New Roman" w:hAnsi="Times New Roman"/>
          <w:kern w:val="0"/>
        </w:rPr>
        <w:t>试样，精确至</w:t>
      </w:r>
      <w:r>
        <w:rPr>
          <w:rFonts w:ascii="Times New Roman" w:hAnsi="Times New Roman"/>
          <w:kern w:val="0"/>
        </w:rPr>
        <w:t>0.01 g</w:t>
      </w:r>
      <w:r>
        <w:rPr>
          <w:rFonts w:hint="eastAsia" w:ascii="Times New Roman" w:hAnsi="Times New Roman"/>
          <w:kern w:val="0"/>
        </w:rPr>
        <w:t>，置于烧杯中，加水溶解，转移至</w:t>
      </w:r>
      <w:r>
        <w:rPr>
          <w:rFonts w:ascii="Times New Roman" w:hAnsi="Times New Roman"/>
          <w:kern w:val="0"/>
        </w:rPr>
        <w:t>100 mL</w:t>
      </w:r>
      <w:r>
        <w:rPr>
          <w:rFonts w:hint="eastAsia" w:ascii="Times New Roman" w:hAnsi="Times New Roman"/>
          <w:kern w:val="0"/>
        </w:rPr>
        <w:t>容量瓶中，用水稀释至刻度，摇匀。在最佳仪器条件下（参考的离子色谱条件见附录</w:t>
      </w:r>
      <w:r>
        <w:rPr>
          <w:rFonts w:ascii="Times New Roman" w:hAnsi="Times New Roman"/>
          <w:kern w:val="0"/>
        </w:rPr>
        <w:t>A</w:t>
      </w:r>
      <w:r>
        <w:rPr>
          <w:rFonts w:hint="eastAsia" w:ascii="Times New Roman" w:hAnsi="Times New Roman"/>
          <w:kern w:val="0"/>
        </w:rPr>
        <w:t>），将试验溶液经过水性微孔滤膜，弃去初始</w:t>
      </w:r>
      <w:r>
        <w:rPr>
          <w:rFonts w:ascii="Times New Roman" w:hAnsi="Times New Roman"/>
          <w:kern w:val="0"/>
        </w:rPr>
        <w:t>10 mL</w:t>
      </w:r>
      <w:r>
        <w:rPr>
          <w:rFonts w:hint="eastAsia" w:ascii="Times New Roman" w:hAnsi="Times New Roman"/>
          <w:kern w:val="0"/>
        </w:rPr>
        <w:t>滤液，注入离子色谱仪，记录峰高或峰面积。根据峰高或峰面积，从标准曲线查得试验溶液中氟化物、硫酸盐和氯化物的质量浓度（mg/L）。</w:t>
      </w:r>
    </w:p>
    <w:p w14:paraId="4F16B12A">
      <w:pPr>
        <w:pStyle w:val="53"/>
        <w:bidi w:val="0"/>
        <w:ind w:left="0" w:leftChars="0" w:firstLine="0" w:firstLineChars="0"/>
        <w:rPr>
          <w:rFonts w:hint="eastAsia" w:hAnsi="Times New Roman" w:cs="Times New Roman"/>
        </w:rPr>
      </w:pPr>
      <w:r>
        <w:rPr>
          <w:rFonts w:hint="eastAsia" w:hAnsi="Times New Roman" w:cs="Times New Roman"/>
        </w:rPr>
        <w:t>试验数据处理</w:t>
      </w:r>
    </w:p>
    <w:p w14:paraId="549A2159">
      <w:pPr>
        <w:widowControl/>
        <w:spacing w:before="120" w:beforeLines="50" w:after="120" w:afterLines="50"/>
        <w:ind w:firstLine="420" w:firstLineChars="200"/>
        <w:jc w:val="left"/>
        <w:outlineLvl w:val="4"/>
        <w:rPr>
          <w:kern w:val="0"/>
        </w:rPr>
      </w:pPr>
      <w:r>
        <w:rPr>
          <w:rFonts w:hint="eastAsia"/>
          <w:kern w:val="0"/>
          <w:lang w:val="en-US" w:eastAsia="zh-CN"/>
        </w:rPr>
        <w:t>氯化物</w:t>
      </w:r>
      <w:r>
        <w:rPr>
          <w:kern w:val="0"/>
        </w:rPr>
        <w:t>含量</w:t>
      </w:r>
      <w:r>
        <w:rPr>
          <w:rFonts w:ascii="Times New Roman" w:hAnsi="宋体"/>
        </w:rPr>
        <w:t>以</w:t>
      </w:r>
      <w:r>
        <w:rPr>
          <w:rFonts w:hint="eastAsia" w:ascii="Times New Roman" w:hAnsi="宋体"/>
          <w:lang w:val="en-US" w:eastAsia="zh-CN"/>
        </w:rPr>
        <w:t>氯（Cl）的</w:t>
      </w:r>
      <w:r>
        <w:rPr>
          <w:rFonts w:ascii="Times New Roman" w:hAnsi="宋体"/>
        </w:rPr>
        <w:t>质量分数</w:t>
      </w:r>
      <w:r>
        <w:rPr>
          <w:rFonts w:ascii="Times New Roman"/>
          <w:i/>
        </w:rPr>
        <w:t>w</w:t>
      </w:r>
      <w:r>
        <w:rPr>
          <w:rFonts w:hint="eastAsia" w:ascii="Times New Roman"/>
          <w:vertAlign w:val="subscript"/>
          <w:lang w:val="en-US" w:eastAsia="zh-CN"/>
        </w:rPr>
        <w:t>5</w:t>
      </w:r>
      <w:r>
        <w:rPr>
          <w:rFonts w:ascii="Times New Roman" w:hAnsi="宋体"/>
        </w:rPr>
        <w:t>计，</w:t>
      </w:r>
      <w:r>
        <w:rPr>
          <w:kern w:val="0"/>
        </w:rPr>
        <w:t>按公式（</w:t>
      </w:r>
      <w:r>
        <w:rPr>
          <w:rFonts w:hint="eastAsia"/>
          <w:kern w:val="0"/>
          <w:lang w:val="en-US" w:eastAsia="zh-CN"/>
        </w:rPr>
        <w:t>5</w:t>
      </w:r>
      <w:r>
        <w:rPr>
          <w:kern w:val="0"/>
        </w:rPr>
        <w:t>）计算：</w:t>
      </w:r>
    </w:p>
    <w:p w14:paraId="078659DD">
      <w:pPr>
        <w:spacing w:before="120" w:beforeLines="50" w:after="120" w:afterLines="50" w:line="500" w:lineRule="exact"/>
        <w:jc w:val="right"/>
        <w:rPr>
          <w:sz w:val="24"/>
          <w:szCs w:val="24"/>
        </w:rPr>
      </w:pPr>
      <w:r>
        <w:rPr>
          <w:rFonts w:ascii="宋体" w:hAnsi="宋体"/>
          <w:kern w:val="0"/>
          <w:position w:val="-24"/>
          <w:szCs w:val="21"/>
        </w:rPr>
        <w:object>
          <v:shape id="_x0000_i1032" o:spt="75" alt="" type="#_x0000_t75" style="height:33.25pt;width:126.8pt;" o:ole="t" filled="f" o:preferrelative="t" stroked="f" coordsize="21600,21600">
            <v:path/>
            <v:fill on="f" focussize="0,0"/>
            <v:stroke on="f"/>
            <v:imagedata r:id="rId15" o:title=""/>
            <o:lock v:ext="edit" aspectratio="t"/>
            <w10:wrap type="none"/>
            <w10:anchorlock/>
          </v:shape>
          <o:OLEObject Type="Embed" ProgID="Equation.3" ShapeID="_x0000_i1032" DrawAspect="Content" ObjectID="_1468075729" r:id="rId14">
            <o:LockedField>false</o:LockedField>
          </o:OLEObject>
        </w:object>
      </w:r>
      <w:r>
        <w:rPr>
          <w:rFonts w:hint="eastAsia" w:ascii="宋体" w:hAnsi="宋体"/>
        </w:rPr>
        <w:t>…………………………………………</w:t>
      </w:r>
      <w:r>
        <w:rPr>
          <w:rFonts w:hint="default" w:ascii="Times New Roman" w:hAnsi="Times New Roman" w:cs="Times New Roman"/>
        </w:rPr>
        <w:t>（</w:t>
      </w:r>
      <w:r>
        <w:rPr>
          <w:rFonts w:hint="default" w:ascii="Times New Roman" w:hAnsi="Times New Roman" w:cs="Times New Roman"/>
          <w:lang w:val="en-US" w:eastAsia="zh-CN"/>
        </w:rPr>
        <w:t>5</w:t>
      </w:r>
      <w:r>
        <w:rPr>
          <w:rFonts w:hint="default" w:ascii="Times New Roman" w:hAnsi="Times New Roman" w:cs="Times New Roman"/>
        </w:rPr>
        <w:t>）</w:t>
      </w:r>
    </w:p>
    <w:p w14:paraId="19BEC6EB">
      <w:pPr>
        <w:autoSpaceDE w:val="0"/>
        <w:autoSpaceDN w:val="0"/>
        <w:spacing w:line="360" w:lineRule="exact"/>
        <w:ind w:firstLine="420" w:firstLineChars="200"/>
        <w:jc w:val="left"/>
        <w:rPr>
          <w:kern w:val="0"/>
        </w:rPr>
      </w:pPr>
      <w:r>
        <w:rPr>
          <w:rFonts w:hint="eastAsia"/>
          <w:kern w:val="0"/>
        </w:rPr>
        <w:t>式中：</w:t>
      </w:r>
    </w:p>
    <w:p w14:paraId="511B9118">
      <w:pPr>
        <w:autoSpaceDE w:val="0"/>
        <w:autoSpaceDN w:val="0"/>
        <w:spacing w:line="360" w:lineRule="exact"/>
        <w:ind w:firstLine="420" w:firstLineChars="200"/>
        <w:jc w:val="left"/>
        <w:rPr>
          <w:rFonts w:ascii="Times New Roman" w:hAnsi="Times New Roman"/>
          <w:kern w:val="0"/>
        </w:rPr>
      </w:pPr>
      <w:r>
        <w:rPr>
          <w:rFonts w:ascii="Times New Roman" w:hAnsi="Times New Roman"/>
          <w:i/>
          <w:kern w:val="0"/>
        </w:rPr>
        <w:t>ρ</w:t>
      </w:r>
      <w:r>
        <w:rPr>
          <w:rFonts w:ascii="Times New Roman" w:hAnsi="Times New Roman"/>
          <w:kern w:val="0"/>
        </w:rPr>
        <w:t>——</w:t>
      </w:r>
      <w:r>
        <w:rPr>
          <w:rFonts w:hint="eastAsia" w:ascii="Times New Roman" w:hAnsi="Times New Roman"/>
          <w:kern w:val="0"/>
        </w:rPr>
        <w:t>试验溶液中</w:t>
      </w:r>
      <w:r>
        <w:rPr>
          <w:rFonts w:hint="eastAsia" w:ascii="Times New Roman" w:hAnsi="Times New Roman"/>
          <w:kern w:val="0"/>
          <w:lang w:val="en-US" w:eastAsia="zh-CN"/>
        </w:rPr>
        <w:t>氯化物（以Cl计）</w:t>
      </w:r>
      <w:r>
        <w:rPr>
          <w:rFonts w:hint="eastAsia" w:ascii="Times New Roman" w:hAnsi="Times New Roman"/>
          <w:kern w:val="0"/>
        </w:rPr>
        <w:t>的质量浓度的数值，单位为毫克</w:t>
      </w:r>
      <w:r>
        <w:rPr>
          <w:rFonts w:ascii="Times New Roman" w:hAnsi="Times New Roman"/>
          <w:kern w:val="0"/>
        </w:rPr>
        <w:t>/</w:t>
      </w:r>
      <w:r>
        <w:rPr>
          <w:rFonts w:hint="eastAsia" w:ascii="Times New Roman" w:hAnsi="Times New Roman"/>
          <w:kern w:val="0"/>
        </w:rPr>
        <w:t>升（</w:t>
      </w:r>
      <w:r>
        <w:rPr>
          <w:rFonts w:hint="eastAsia" w:ascii="Times New Roman" w:hAnsi="Times New Roman"/>
        </w:rPr>
        <w:t>mg/L</w:t>
      </w:r>
      <w:r>
        <w:rPr>
          <w:rFonts w:hint="eastAsia" w:ascii="Times New Roman" w:hAnsi="Times New Roman"/>
          <w:kern w:val="0"/>
        </w:rPr>
        <w:t>）；</w:t>
      </w:r>
    </w:p>
    <w:p w14:paraId="328A119C">
      <w:pPr>
        <w:autoSpaceDE w:val="0"/>
        <w:autoSpaceDN w:val="0"/>
        <w:spacing w:line="360" w:lineRule="exact"/>
        <w:ind w:firstLine="420" w:firstLineChars="200"/>
        <w:jc w:val="left"/>
        <w:rPr>
          <w:rFonts w:ascii="Times New Roman" w:hAnsi="Times New Roman"/>
          <w:kern w:val="0"/>
        </w:rPr>
      </w:pPr>
      <w:r>
        <w:rPr>
          <w:rFonts w:ascii="Times New Roman" w:hAnsi="Times New Roman"/>
          <w:i/>
          <w:kern w:val="0"/>
        </w:rPr>
        <w:t>m</w:t>
      </w:r>
      <w:r>
        <w:rPr>
          <w:rFonts w:ascii="Times New Roman" w:hAnsi="Times New Roman"/>
          <w:kern w:val="0"/>
        </w:rPr>
        <w:t>——</w:t>
      </w:r>
      <w:r>
        <w:rPr>
          <w:rFonts w:hint="eastAsia" w:ascii="Times New Roman" w:hAnsi="Times New Roman"/>
          <w:kern w:val="0"/>
        </w:rPr>
        <w:t>试料的质量的数值，单位为克（</w:t>
      </w:r>
      <w:r>
        <w:rPr>
          <w:rFonts w:ascii="Times New Roman" w:hAnsi="Times New Roman"/>
          <w:kern w:val="0"/>
        </w:rPr>
        <w:t>g</w:t>
      </w:r>
      <w:r>
        <w:rPr>
          <w:rFonts w:hint="eastAsia" w:ascii="Times New Roman" w:hAnsi="Times New Roman"/>
          <w:kern w:val="0"/>
        </w:rPr>
        <w:t>）</w:t>
      </w:r>
      <w:r>
        <w:rPr>
          <w:rFonts w:hint="eastAsia" w:ascii="Times New Roman" w:hAnsi="Times New Roman"/>
          <w:szCs w:val="22"/>
        </w:rPr>
        <w:t>。</w:t>
      </w:r>
    </w:p>
    <w:p w14:paraId="31E3B793">
      <w:pPr>
        <w:pStyle w:val="44"/>
        <w:numPr>
          <w:ilvl w:val="0"/>
          <w:numId w:val="0"/>
        </w:numPr>
        <w:spacing w:before="120" w:after="120"/>
        <w:ind w:firstLine="420" w:firstLineChars="200"/>
      </w:pPr>
      <w:r>
        <w:rPr>
          <w:rFonts w:ascii="Times New Roman" w:eastAsia="宋体"/>
          <w:kern w:val="2"/>
          <w:szCs w:val="24"/>
        </w:rPr>
        <w:t>取平行测定结果的算术平均值为测定结果，</w:t>
      </w:r>
      <w:r>
        <w:rPr>
          <w:rFonts w:hint="eastAsia" w:ascii="Times New Roman" w:eastAsia="宋体"/>
          <w:kern w:val="2"/>
          <w:szCs w:val="24"/>
        </w:rPr>
        <w:t>两次平行测定结果的相对偏差不大于</w:t>
      </w:r>
      <w:r>
        <w:rPr>
          <w:rFonts w:ascii="Times New Roman" w:eastAsia="宋体"/>
          <w:kern w:val="2"/>
          <w:szCs w:val="24"/>
        </w:rPr>
        <w:t>20 %</w:t>
      </w:r>
      <w:r>
        <w:rPr>
          <w:rFonts w:hint="eastAsia" w:ascii="Times New Roman" w:eastAsia="宋体"/>
          <w:kern w:val="2"/>
          <w:szCs w:val="24"/>
        </w:rPr>
        <w:t>。</w:t>
      </w:r>
    </w:p>
    <w:p w14:paraId="2AF055FF">
      <w:pPr>
        <w:pStyle w:val="48"/>
        <w:bidi w:val="0"/>
        <w:ind w:left="0" w:leftChars="0" w:firstLine="0" w:firstLineChars="0"/>
        <w:rPr>
          <w:rFonts w:hint="eastAsia" w:hAnsi="Times New Roman" w:cs="Times New Roman"/>
        </w:rPr>
      </w:pPr>
      <w:r>
        <w:rPr>
          <w:rFonts w:hint="eastAsia" w:hAnsi="Times New Roman" w:cs="Times New Roman"/>
        </w:rPr>
        <w:t xml:space="preserve">比浊法 </w:t>
      </w:r>
    </w:p>
    <w:p w14:paraId="03982FCB">
      <w:pPr>
        <w:pStyle w:val="53"/>
        <w:spacing w:before="156" w:after="156"/>
      </w:pPr>
      <w:r>
        <w:rPr>
          <w:rFonts w:hint="eastAsia"/>
          <w:lang w:eastAsia="zh-CN"/>
        </w:rPr>
        <w:t>原理</w:t>
      </w:r>
    </w:p>
    <w:p w14:paraId="03D2208F">
      <w:pPr>
        <w:spacing w:line="360" w:lineRule="exact"/>
        <w:ind w:firstLine="420" w:firstLineChars="200"/>
        <w:rPr>
          <w:color w:val="000000"/>
          <w:szCs w:val="18"/>
        </w:rPr>
      </w:pPr>
      <w:r>
        <w:rPr>
          <w:rFonts w:hAnsi="宋体"/>
          <w:color w:val="000000"/>
          <w:szCs w:val="18"/>
        </w:rPr>
        <w:t>在酸性介质中，试验溶液中的氯化物与硝酸银作用，生成难溶的氯化银，当氯离子含量较低时，在一定时间内氯化银呈悬浮</w:t>
      </w:r>
      <w:r>
        <w:rPr>
          <w:rFonts w:hint="eastAsia" w:hAnsi="宋体"/>
          <w:color w:val="000000"/>
          <w:szCs w:val="18"/>
        </w:rPr>
        <w:t>状</w:t>
      </w:r>
      <w:r>
        <w:rPr>
          <w:rFonts w:hAnsi="宋体"/>
          <w:color w:val="000000"/>
          <w:szCs w:val="18"/>
        </w:rPr>
        <w:t>，与氯化</w:t>
      </w:r>
      <w:r>
        <w:rPr>
          <w:rFonts w:hint="eastAsia" w:hAnsi="宋体"/>
          <w:color w:val="000000"/>
          <w:szCs w:val="18"/>
        </w:rPr>
        <w:t>物</w:t>
      </w:r>
      <w:r>
        <w:rPr>
          <w:rFonts w:hAnsi="宋体"/>
          <w:color w:val="000000"/>
          <w:szCs w:val="18"/>
        </w:rPr>
        <w:t>标准比浊溶液比较，确定试样中氯化物含量</w:t>
      </w:r>
      <w:r>
        <w:rPr>
          <w:rFonts w:hint="eastAsia"/>
          <w:color w:val="000000"/>
          <w:szCs w:val="18"/>
        </w:rPr>
        <w:t>。</w:t>
      </w:r>
    </w:p>
    <w:p w14:paraId="32E72F2A">
      <w:pPr>
        <w:pStyle w:val="53"/>
        <w:spacing w:before="156" w:after="156"/>
      </w:pPr>
      <w:r>
        <w:rPr>
          <w:rFonts w:hint="eastAsia"/>
        </w:rPr>
        <w:t>试剂或材料</w:t>
      </w:r>
    </w:p>
    <w:p w14:paraId="321A74A6">
      <w:pPr>
        <w:pStyle w:val="120"/>
        <w:rPr>
          <w:rFonts w:ascii="Times New Roman"/>
        </w:rPr>
      </w:pPr>
      <w:r>
        <w:rPr>
          <w:rFonts w:ascii="Times New Roman"/>
        </w:rPr>
        <w:t>硝酸溶液：1+6。</w:t>
      </w:r>
    </w:p>
    <w:p w14:paraId="7F1A24D8">
      <w:pPr>
        <w:pStyle w:val="120"/>
        <w:rPr>
          <w:rFonts w:ascii="Times New Roman"/>
        </w:rPr>
      </w:pPr>
      <w:r>
        <w:rPr>
          <w:rFonts w:ascii="Times New Roman"/>
        </w:rPr>
        <w:t>硝酸银溶液：17 g/L。</w:t>
      </w:r>
    </w:p>
    <w:p w14:paraId="79B4754E">
      <w:pPr>
        <w:pStyle w:val="120"/>
        <w:rPr>
          <w:rFonts w:ascii="Times New Roman"/>
        </w:rPr>
      </w:pPr>
      <w:r>
        <w:rPr>
          <w:rFonts w:ascii="Times New Roman"/>
        </w:rPr>
        <w:t>氯化物标准溶液：1 mL溶液含氯（C1）0.010mg。用移液管移取1 mL按HG/T 3696.2配制的氯化物标准溶液，置于100 mL容量瓶中，用水稀释至刻度，摇匀。该溶液现用现配。</w:t>
      </w:r>
    </w:p>
    <w:p w14:paraId="509D09BF">
      <w:pPr>
        <w:pStyle w:val="53"/>
        <w:spacing w:before="156" w:after="156"/>
      </w:pPr>
      <w:r>
        <w:rPr>
          <w:rFonts w:hint="eastAsia"/>
        </w:rPr>
        <w:t>试验步骤</w:t>
      </w:r>
    </w:p>
    <w:p w14:paraId="30A954FA">
      <w:pPr>
        <w:pStyle w:val="57"/>
        <w:spacing w:before="156" w:after="156"/>
      </w:pPr>
      <w:r>
        <w:rPr>
          <w:rFonts w:hint="eastAsia"/>
        </w:rPr>
        <w:t>试验溶液的制备</w:t>
      </w:r>
    </w:p>
    <w:p w14:paraId="11410A4D">
      <w:pPr>
        <w:spacing w:line="360" w:lineRule="exact"/>
        <w:rPr>
          <w:color w:val="000000"/>
          <w:szCs w:val="18"/>
        </w:rPr>
      </w:pPr>
      <w:r>
        <w:rPr>
          <w:color w:val="000000"/>
          <w:szCs w:val="18"/>
        </w:rPr>
        <w:t xml:space="preserve">    </w:t>
      </w:r>
      <w:r>
        <w:rPr>
          <w:rFonts w:hAnsi="宋体"/>
          <w:color w:val="000000"/>
          <w:szCs w:val="18"/>
        </w:rPr>
        <w:t>称取</w:t>
      </w:r>
      <w:r>
        <w:rPr>
          <w:rFonts w:hint="eastAsia"/>
          <w:color w:val="000000"/>
          <w:szCs w:val="18"/>
        </w:rPr>
        <w:t xml:space="preserve">1.00 </w:t>
      </w:r>
      <w:r>
        <w:rPr>
          <w:color w:val="000000"/>
          <w:szCs w:val="18"/>
        </w:rPr>
        <w:t>g</w:t>
      </w:r>
      <w:r>
        <w:rPr>
          <w:rFonts w:hint="eastAsia" w:ascii="宋体" w:hAnsi="宋体"/>
          <w:color w:val="000000"/>
          <w:szCs w:val="18"/>
        </w:rPr>
        <w:t>±</w:t>
      </w:r>
      <w:r>
        <w:rPr>
          <w:rFonts w:hint="eastAsia"/>
          <w:color w:val="000000"/>
          <w:szCs w:val="18"/>
        </w:rPr>
        <w:t>0.002 g</w:t>
      </w:r>
      <w:r>
        <w:rPr>
          <w:rFonts w:hAnsi="宋体"/>
          <w:color w:val="000000"/>
          <w:szCs w:val="18"/>
        </w:rPr>
        <w:t>试样</w:t>
      </w:r>
      <w:r>
        <w:rPr>
          <w:rFonts w:hint="eastAsia"/>
          <w:color w:val="000000"/>
          <w:szCs w:val="18"/>
        </w:rPr>
        <w:t>，</w:t>
      </w:r>
      <w:r>
        <w:rPr>
          <w:rFonts w:hAnsi="宋体"/>
          <w:color w:val="000000"/>
          <w:szCs w:val="18"/>
        </w:rPr>
        <w:t>置于烧杯中，加</w:t>
      </w:r>
      <w:r>
        <w:rPr>
          <w:color w:val="000000"/>
          <w:szCs w:val="18"/>
        </w:rPr>
        <w:t>50</w:t>
      </w:r>
      <w:r>
        <w:rPr>
          <w:rFonts w:hint="eastAsia"/>
          <w:color w:val="000000"/>
          <w:szCs w:val="18"/>
        </w:rPr>
        <w:t xml:space="preserve"> </w:t>
      </w:r>
      <w:r>
        <w:rPr>
          <w:color w:val="000000"/>
          <w:szCs w:val="18"/>
        </w:rPr>
        <w:t>mL</w:t>
      </w:r>
      <w:r>
        <w:rPr>
          <w:rFonts w:hAnsi="宋体"/>
          <w:color w:val="000000"/>
          <w:szCs w:val="18"/>
        </w:rPr>
        <w:t>水溶解</w:t>
      </w:r>
      <w:r>
        <w:rPr>
          <w:rFonts w:hint="eastAsia" w:hAnsi="宋体"/>
          <w:color w:val="000000"/>
          <w:szCs w:val="18"/>
        </w:rPr>
        <w:t>试样</w:t>
      </w:r>
      <w:r>
        <w:rPr>
          <w:rFonts w:hAnsi="宋体"/>
          <w:color w:val="000000"/>
          <w:szCs w:val="18"/>
        </w:rPr>
        <w:t>，加</w:t>
      </w:r>
      <w:r>
        <w:rPr>
          <w:rFonts w:hint="eastAsia"/>
          <w:color w:val="000000"/>
          <w:szCs w:val="18"/>
        </w:rPr>
        <w:t>1</w:t>
      </w:r>
      <w:r>
        <w:rPr>
          <w:color w:val="000000"/>
          <w:szCs w:val="18"/>
        </w:rPr>
        <w:t>0</w:t>
      </w:r>
      <w:r>
        <w:rPr>
          <w:rFonts w:hint="eastAsia"/>
          <w:color w:val="000000"/>
          <w:szCs w:val="18"/>
        </w:rPr>
        <w:t xml:space="preserve"> </w:t>
      </w:r>
      <w:r>
        <w:rPr>
          <w:color w:val="000000"/>
          <w:szCs w:val="18"/>
        </w:rPr>
        <w:t>mL</w:t>
      </w:r>
      <w:r>
        <w:rPr>
          <w:rFonts w:hAnsi="宋体"/>
          <w:color w:val="000000"/>
          <w:szCs w:val="18"/>
        </w:rPr>
        <w:t>硝酸溶液，转移</w:t>
      </w:r>
      <w:r>
        <w:rPr>
          <w:rFonts w:hint="eastAsia" w:hAnsi="宋体"/>
          <w:color w:val="000000"/>
          <w:szCs w:val="18"/>
        </w:rPr>
        <w:t>至</w:t>
      </w:r>
      <w:r>
        <w:rPr>
          <w:color w:val="000000"/>
          <w:szCs w:val="18"/>
        </w:rPr>
        <w:t>10</w:t>
      </w:r>
      <w:r>
        <w:rPr>
          <w:rFonts w:hint="eastAsia"/>
          <w:color w:val="000000"/>
          <w:szCs w:val="18"/>
        </w:rPr>
        <w:t xml:space="preserve">0 </w:t>
      </w:r>
      <w:r>
        <w:rPr>
          <w:color w:val="000000"/>
          <w:szCs w:val="18"/>
        </w:rPr>
        <w:t>mL</w:t>
      </w:r>
      <w:r>
        <w:rPr>
          <w:rFonts w:hAnsi="宋体"/>
          <w:color w:val="000000"/>
          <w:szCs w:val="18"/>
        </w:rPr>
        <w:t>容量瓶中，</w:t>
      </w:r>
      <w:r>
        <w:rPr>
          <w:rFonts w:hint="eastAsia" w:hAnsi="宋体"/>
          <w:color w:val="000000"/>
          <w:szCs w:val="18"/>
        </w:rPr>
        <w:t>用水稀释至刻度，</w:t>
      </w:r>
      <w:r>
        <w:rPr>
          <w:rFonts w:hAnsi="宋体"/>
          <w:color w:val="000000"/>
          <w:szCs w:val="18"/>
        </w:rPr>
        <w:t>摇匀</w:t>
      </w:r>
      <w:r>
        <w:rPr>
          <w:rFonts w:hint="eastAsia"/>
          <w:color w:val="000000"/>
          <w:szCs w:val="18"/>
        </w:rPr>
        <w:t>。</w:t>
      </w:r>
      <w:r>
        <w:rPr>
          <w:rFonts w:hAnsi="宋体"/>
          <w:color w:val="000000"/>
          <w:szCs w:val="18"/>
        </w:rPr>
        <w:t>当溶液混</w:t>
      </w:r>
      <w:r>
        <w:rPr>
          <w:rFonts w:hint="eastAsia" w:hAnsi="宋体"/>
          <w:color w:val="000000"/>
          <w:szCs w:val="18"/>
        </w:rPr>
        <w:t>浊</w:t>
      </w:r>
      <w:r>
        <w:rPr>
          <w:rFonts w:hAnsi="宋体"/>
          <w:color w:val="000000"/>
          <w:szCs w:val="18"/>
        </w:rPr>
        <w:t>时，进行干过滤</w:t>
      </w:r>
      <w:r>
        <w:rPr>
          <w:rFonts w:hint="eastAsia"/>
          <w:color w:val="000000"/>
          <w:szCs w:val="18"/>
        </w:rPr>
        <w:t>。</w:t>
      </w:r>
    </w:p>
    <w:p w14:paraId="7754DF9C">
      <w:pPr>
        <w:pStyle w:val="57"/>
        <w:spacing w:before="156" w:after="156"/>
      </w:pPr>
      <w:r>
        <w:rPr>
          <w:rFonts w:hint="eastAsia"/>
        </w:rPr>
        <w:t>试验</w:t>
      </w:r>
    </w:p>
    <w:p w14:paraId="79FFBC2A">
      <w:pPr>
        <w:spacing w:line="360" w:lineRule="exact"/>
        <w:ind w:firstLine="435"/>
        <w:rPr>
          <w:color w:val="000000"/>
          <w:szCs w:val="18"/>
        </w:rPr>
      </w:pPr>
      <w:r>
        <w:rPr>
          <w:rFonts w:hAnsi="宋体"/>
          <w:color w:val="000000"/>
          <w:szCs w:val="18"/>
        </w:rPr>
        <w:t>用移液管移取</w:t>
      </w:r>
      <w:r>
        <w:rPr>
          <w:rFonts w:hint="eastAsia" w:hAnsi="宋体"/>
          <w:color w:val="000000"/>
          <w:szCs w:val="18"/>
        </w:rPr>
        <w:t>10</w:t>
      </w:r>
      <w:r>
        <w:rPr>
          <w:color w:val="000000"/>
          <w:szCs w:val="18"/>
        </w:rPr>
        <w:t>mL</w:t>
      </w:r>
      <w:r>
        <w:rPr>
          <w:rFonts w:hAnsi="宋体"/>
          <w:color w:val="000000"/>
          <w:szCs w:val="18"/>
        </w:rPr>
        <w:t>试验溶液，置于</w:t>
      </w:r>
      <w:r>
        <w:rPr>
          <w:color w:val="000000"/>
          <w:szCs w:val="18"/>
        </w:rPr>
        <w:t>5</w:t>
      </w:r>
      <w:r>
        <w:rPr>
          <w:rFonts w:hint="eastAsia"/>
          <w:color w:val="000000"/>
          <w:szCs w:val="18"/>
        </w:rPr>
        <w:t xml:space="preserve">0 </w:t>
      </w:r>
      <w:r>
        <w:rPr>
          <w:color w:val="000000"/>
          <w:szCs w:val="18"/>
        </w:rPr>
        <w:t>mL</w:t>
      </w:r>
      <w:r>
        <w:rPr>
          <w:rFonts w:hAnsi="宋体"/>
          <w:color w:val="000000"/>
          <w:szCs w:val="18"/>
        </w:rPr>
        <w:t>比色管中，加</w:t>
      </w:r>
      <w:r>
        <w:rPr>
          <w:color w:val="000000"/>
          <w:szCs w:val="18"/>
        </w:rPr>
        <w:t>l</w:t>
      </w:r>
      <w:r>
        <w:rPr>
          <w:rFonts w:hint="eastAsia"/>
          <w:color w:val="000000"/>
          <w:szCs w:val="18"/>
        </w:rPr>
        <w:t xml:space="preserve"> </w:t>
      </w:r>
      <w:r>
        <w:rPr>
          <w:color w:val="000000"/>
          <w:szCs w:val="18"/>
        </w:rPr>
        <w:t>mL</w:t>
      </w:r>
      <w:r>
        <w:rPr>
          <w:rFonts w:hAnsi="宋体"/>
          <w:color w:val="000000"/>
          <w:szCs w:val="18"/>
        </w:rPr>
        <w:t>硝酸银溶液。用水稀释至刻度，摇匀</w:t>
      </w:r>
      <w:r>
        <w:rPr>
          <w:rFonts w:hint="eastAsia"/>
          <w:color w:val="000000"/>
          <w:szCs w:val="18"/>
        </w:rPr>
        <w:t>。</w:t>
      </w:r>
      <w:r>
        <w:rPr>
          <w:rFonts w:hAnsi="宋体"/>
          <w:color w:val="000000"/>
          <w:szCs w:val="18"/>
        </w:rPr>
        <w:t>放置</w:t>
      </w:r>
      <w:r>
        <w:rPr>
          <w:color w:val="000000"/>
          <w:szCs w:val="18"/>
        </w:rPr>
        <w:t>10</w:t>
      </w:r>
      <w:r>
        <w:rPr>
          <w:rFonts w:hint="eastAsia"/>
          <w:color w:val="000000"/>
          <w:szCs w:val="18"/>
        </w:rPr>
        <w:t xml:space="preserve"> </w:t>
      </w:r>
      <w:r>
        <w:rPr>
          <w:color w:val="000000"/>
          <w:szCs w:val="18"/>
        </w:rPr>
        <w:t>min</w:t>
      </w:r>
      <w:r>
        <w:rPr>
          <w:rFonts w:hAnsi="宋体"/>
          <w:color w:val="000000"/>
          <w:szCs w:val="18"/>
        </w:rPr>
        <w:t>后，试验溶液</w:t>
      </w:r>
      <w:r>
        <w:rPr>
          <w:rFonts w:hint="eastAsia" w:hAnsi="宋体"/>
          <w:color w:val="000000"/>
          <w:szCs w:val="18"/>
        </w:rPr>
        <w:t>所呈</w:t>
      </w:r>
      <w:r>
        <w:rPr>
          <w:rFonts w:hAnsi="宋体"/>
          <w:color w:val="000000"/>
          <w:szCs w:val="18"/>
        </w:rPr>
        <w:t>浊</w:t>
      </w:r>
      <w:r>
        <w:rPr>
          <w:rFonts w:hint="eastAsia" w:hAnsi="宋体"/>
          <w:color w:val="000000"/>
          <w:szCs w:val="18"/>
        </w:rPr>
        <w:t>度</w:t>
      </w:r>
      <w:r>
        <w:rPr>
          <w:rFonts w:hAnsi="宋体"/>
          <w:color w:val="000000"/>
          <w:szCs w:val="18"/>
        </w:rPr>
        <w:t>不应大于标准比浊溶液</w:t>
      </w:r>
      <w:r>
        <w:rPr>
          <w:rFonts w:hint="eastAsia"/>
          <w:color w:val="000000"/>
          <w:szCs w:val="18"/>
        </w:rPr>
        <w:t>。</w:t>
      </w:r>
    </w:p>
    <w:p w14:paraId="45F536A8">
      <w:pPr>
        <w:spacing w:line="360" w:lineRule="exact"/>
        <w:ind w:firstLine="435"/>
        <w:rPr>
          <w:color w:val="000000"/>
          <w:szCs w:val="18"/>
        </w:rPr>
      </w:pPr>
      <w:r>
        <w:rPr>
          <w:rFonts w:hAnsi="宋体"/>
          <w:color w:val="000000"/>
          <w:szCs w:val="18"/>
        </w:rPr>
        <w:t>标准比浊溶液是用移液管移取</w:t>
      </w:r>
      <w:r>
        <w:rPr>
          <w:rFonts w:hint="eastAsia"/>
          <w:color w:val="000000"/>
          <w:szCs w:val="18"/>
        </w:rPr>
        <w:t xml:space="preserve">5 </w:t>
      </w:r>
      <w:r>
        <w:rPr>
          <w:color w:val="000000"/>
          <w:szCs w:val="18"/>
        </w:rPr>
        <w:t>mL</w:t>
      </w:r>
      <w:r>
        <w:rPr>
          <w:rFonts w:hint="eastAsia"/>
          <w:color w:val="000000"/>
          <w:szCs w:val="18"/>
        </w:rPr>
        <w:t xml:space="preserve">（Ⅰ型产品）或4 </w:t>
      </w:r>
      <w:r>
        <w:rPr>
          <w:color w:val="000000"/>
          <w:szCs w:val="18"/>
        </w:rPr>
        <w:t>mL</w:t>
      </w:r>
      <w:r>
        <w:rPr>
          <w:rFonts w:hint="eastAsia"/>
          <w:color w:val="000000"/>
          <w:szCs w:val="18"/>
        </w:rPr>
        <w:t>（Ⅱ型产品）</w:t>
      </w:r>
      <w:r>
        <w:rPr>
          <w:rFonts w:hAnsi="宋体"/>
          <w:color w:val="000000"/>
          <w:szCs w:val="18"/>
        </w:rPr>
        <w:t>氯化物标准溶液，与试</w:t>
      </w:r>
      <w:r>
        <w:rPr>
          <w:rFonts w:hint="eastAsia" w:hAnsi="宋体"/>
          <w:color w:val="000000"/>
          <w:szCs w:val="18"/>
        </w:rPr>
        <w:t>验</w:t>
      </w:r>
      <w:r>
        <w:rPr>
          <w:rFonts w:hAnsi="宋体"/>
          <w:color w:val="000000"/>
          <w:szCs w:val="18"/>
        </w:rPr>
        <w:t>溶液同时同样处理。</w:t>
      </w:r>
    </w:p>
    <w:p w14:paraId="3C048CA2">
      <w:pPr>
        <w:pStyle w:val="44"/>
        <w:spacing w:before="156" w:after="156" w:line="360" w:lineRule="exact"/>
        <w:rPr>
          <w:lang w:val="zh-CN"/>
        </w:rPr>
      </w:pPr>
      <w:r>
        <w:rPr>
          <w:rFonts w:hint="eastAsia"/>
          <w:lang w:val="zh-CN"/>
        </w:rPr>
        <w:t>铁含量的测定</w:t>
      </w:r>
      <w:r>
        <w:rPr>
          <w:lang w:val="zh-CN"/>
        </w:rPr>
        <w:t xml:space="preserve">  </w:t>
      </w:r>
    </w:p>
    <w:p w14:paraId="52529435">
      <w:pPr>
        <w:pStyle w:val="48"/>
        <w:spacing w:before="156" w:after="156"/>
        <w:rPr>
          <w:lang w:val="zh-CN"/>
        </w:rPr>
      </w:pPr>
      <w:r>
        <w:rPr>
          <w:rFonts w:hint="eastAsia"/>
          <w:lang w:val="zh-CN"/>
        </w:rPr>
        <w:t>原理</w:t>
      </w:r>
    </w:p>
    <w:p w14:paraId="425E2799">
      <w:pPr>
        <w:tabs>
          <w:tab w:val="left" w:pos="0"/>
        </w:tabs>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同GB/T 3049—2006第3章。</w:t>
      </w:r>
    </w:p>
    <w:p w14:paraId="74A1D918">
      <w:pPr>
        <w:pStyle w:val="48"/>
        <w:spacing w:before="156" w:after="156"/>
        <w:rPr>
          <w:lang w:val="zh-CN"/>
        </w:rPr>
      </w:pPr>
      <w:r>
        <w:rPr>
          <w:rFonts w:hint="eastAsia"/>
          <w:lang w:val="zh-CN"/>
        </w:rPr>
        <w:t>试剂</w:t>
      </w:r>
      <w:r>
        <w:rPr>
          <w:rFonts w:hint="eastAsia"/>
        </w:rPr>
        <w:t>或材料</w:t>
      </w:r>
    </w:p>
    <w:p w14:paraId="60111B02">
      <w:pPr>
        <w:tabs>
          <w:tab w:val="left" w:pos="0"/>
        </w:tabs>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同GB/T 3049—2006第4章。</w:t>
      </w:r>
    </w:p>
    <w:p w14:paraId="7B3B9BFB">
      <w:pPr>
        <w:pStyle w:val="48"/>
        <w:spacing w:before="156" w:after="156"/>
      </w:pPr>
      <w:r>
        <w:rPr>
          <w:rFonts w:hint="eastAsia"/>
          <w:lang w:val="zh-CN"/>
        </w:rPr>
        <w:t>仪器</w:t>
      </w:r>
      <w:r>
        <w:rPr>
          <w:rFonts w:hint="eastAsia"/>
        </w:rPr>
        <w:t>设备</w:t>
      </w:r>
    </w:p>
    <w:p w14:paraId="7B10B05F">
      <w:pPr>
        <w:tabs>
          <w:tab w:val="left" w:pos="0"/>
        </w:tabs>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同GB/T 3049—2006第5章。</w:t>
      </w:r>
    </w:p>
    <w:p w14:paraId="42C2E3CB">
      <w:pPr>
        <w:pStyle w:val="48"/>
        <w:spacing w:before="156" w:after="156"/>
        <w:rPr>
          <w:lang w:val="zh-CN"/>
        </w:rPr>
      </w:pPr>
      <w:r>
        <w:rPr>
          <w:rFonts w:hint="eastAsia"/>
        </w:rPr>
        <w:t>试验</w:t>
      </w:r>
      <w:r>
        <w:rPr>
          <w:rFonts w:hint="eastAsia"/>
          <w:lang w:val="zh-CN"/>
        </w:rPr>
        <w:t>步骤</w:t>
      </w:r>
    </w:p>
    <w:p w14:paraId="5191EA56">
      <w:pPr>
        <w:pStyle w:val="53"/>
        <w:spacing w:before="156" w:after="156"/>
        <w:rPr>
          <w:lang w:val="zh-CN"/>
        </w:rPr>
      </w:pPr>
      <w:r>
        <w:rPr>
          <w:rFonts w:hint="eastAsia"/>
          <w:lang w:val="zh-CN"/>
        </w:rPr>
        <w:t>试验溶液的制备</w:t>
      </w:r>
    </w:p>
    <w:p w14:paraId="56C1B3BA">
      <w:pPr>
        <w:tabs>
          <w:tab w:val="left" w:pos="0"/>
        </w:tabs>
        <w:autoSpaceDE w:val="0"/>
        <w:autoSpaceDN w:val="0"/>
        <w:adjustRightInd w:val="0"/>
        <w:spacing w:line="360" w:lineRule="exact"/>
        <w:rPr>
          <w:color w:val="000000"/>
          <w:szCs w:val="18"/>
        </w:rPr>
      </w:pPr>
      <w:r>
        <w:rPr>
          <w:color w:val="000000"/>
          <w:kern w:val="0"/>
          <w:szCs w:val="22"/>
          <w:lang w:val="zh-CN"/>
        </w:rPr>
        <w:t xml:space="preserve">   </w:t>
      </w:r>
      <w:r>
        <w:rPr>
          <w:rFonts w:hint="eastAsia"/>
          <w:color w:val="000000"/>
          <w:kern w:val="0"/>
          <w:szCs w:val="22"/>
          <w:lang w:val="zh-CN"/>
        </w:rPr>
        <w:t xml:space="preserve"> 称取约</w:t>
      </w:r>
      <w:r>
        <w:rPr>
          <w:color w:val="000000"/>
          <w:kern w:val="0"/>
          <w:szCs w:val="22"/>
          <w:lang w:val="zh-CN"/>
        </w:rPr>
        <w:t>5</w:t>
      </w:r>
      <w:r>
        <w:rPr>
          <w:rFonts w:hint="eastAsia"/>
          <w:color w:val="000000"/>
          <w:kern w:val="0"/>
          <w:szCs w:val="22"/>
          <w:lang w:val="zh-CN"/>
        </w:rPr>
        <w:t xml:space="preserve"> </w:t>
      </w:r>
      <w:r>
        <w:rPr>
          <w:color w:val="000000"/>
          <w:kern w:val="0"/>
          <w:szCs w:val="22"/>
          <w:lang w:val="zh-CN"/>
        </w:rPr>
        <w:t>g</w:t>
      </w:r>
      <w:r>
        <w:rPr>
          <w:rFonts w:hint="eastAsia"/>
          <w:color w:val="000000"/>
          <w:kern w:val="0"/>
          <w:szCs w:val="22"/>
          <w:lang w:val="zh-CN"/>
        </w:rPr>
        <w:t>试样，精确到</w:t>
      </w:r>
      <w:r>
        <w:rPr>
          <w:color w:val="000000"/>
          <w:kern w:val="0"/>
          <w:szCs w:val="22"/>
          <w:lang w:val="zh-CN"/>
        </w:rPr>
        <w:t>0</w:t>
      </w:r>
      <w:r>
        <w:rPr>
          <w:rFonts w:hint="eastAsia"/>
          <w:color w:val="000000"/>
          <w:kern w:val="0"/>
          <w:szCs w:val="22"/>
          <w:lang w:val="zh-CN"/>
        </w:rPr>
        <w:t>.</w:t>
      </w:r>
      <w:r>
        <w:rPr>
          <w:color w:val="000000"/>
          <w:kern w:val="0"/>
          <w:szCs w:val="22"/>
          <w:lang w:val="zh-CN"/>
        </w:rPr>
        <w:t>001</w:t>
      </w:r>
      <w:r>
        <w:rPr>
          <w:rFonts w:hint="eastAsia"/>
          <w:color w:val="000000"/>
          <w:kern w:val="0"/>
          <w:szCs w:val="22"/>
          <w:lang w:val="zh-CN"/>
        </w:rPr>
        <w:t xml:space="preserve"> </w:t>
      </w:r>
      <w:r>
        <w:rPr>
          <w:color w:val="000000"/>
          <w:kern w:val="0"/>
          <w:szCs w:val="22"/>
          <w:lang w:val="zh-CN"/>
        </w:rPr>
        <w:t>g</w:t>
      </w:r>
      <w:r>
        <w:rPr>
          <w:rFonts w:hint="eastAsia"/>
          <w:color w:val="000000"/>
          <w:kern w:val="0"/>
          <w:szCs w:val="22"/>
          <w:lang w:val="zh-CN"/>
        </w:rPr>
        <w:t>，置于</w:t>
      </w:r>
      <w:r>
        <w:rPr>
          <w:color w:val="000000"/>
          <w:kern w:val="0"/>
          <w:szCs w:val="22"/>
          <w:lang w:val="zh-CN"/>
        </w:rPr>
        <w:t>50</w:t>
      </w:r>
      <w:r>
        <w:rPr>
          <w:rFonts w:hint="eastAsia"/>
          <w:color w:val="000000"/>
          <w:kern w:val="0"/>
          <w:szCs w:val="22"/>
          <w:lang w:val="zh-CN"/>
        </w:rPr>
        <w:t xml:space="preserve"> </w:t>
      </w:r>
      <w:r>
        <w:rPr>
          <w:color w:val="000000"/>
          <w:kern w:val="0"/>
          <w:szCs w:val="22"/>
          <w:lang w:val="zh-CN"/>
        </w:rPr>
        <w:t>mL</w:t>
      </w:r>
      <w:r>
        <w:rPr>
          <w:rFonts w:hint="eastAsia"/>
          <w:color w:val="000000"/>
          <w:kern w:val="0"/>
          <w:szCs w:val="22"/>
          <w:lang w:val="zh-CN"/>
        </w:rPr>
        <w:t>烧杯中，用适量水溶解，转移至</w:t>
      </w:r>
      <w:r>
        <w:rPr>
          <w:color w:val="000000"/>
          <w:kern w:val="0"/>
          <w:szCs w:val="22"/>
          <w:lang w:val="zh-CN"/>
        </w:rPr>
        <w:t>50</w:t>
      </w:r>
      <w:r>
        <w:rPr>
          <w:rFonts w:hint="eastAsia"/>
          <w:color w:val="000000"/>
          <w:kern w:val="0"/>
          <w:szCs w:val="22"/>
          <w:lang w:val="zh-CN"/>
        </w:rPr>
        <w:t xml:space="preserve"> </w:t>
      </w:r>
      <w:r>
        <w:rPr>
          <w:color w:val="000000"/>
          <w:kern w:val="0"/>
          <w:szCs w:val="22"/>
          <w:lang w:val="zh-CN"/>
        </w:rPr>
        <w:t>mL</w:t>
      </w:r>
      <w:r>
        <w:rPr>
          <w:rFonts w:hint="eastAsia"/>
          <w:color w:val="000000"/>
          <w:kern w:val="0"/>
          <w:szCs w:val="22"/>
          <w:lang w:val="zh-CN"/>
        </w:rPr>
        <w:t>容量瓶中，用水稀释至刻度，摇匀。</w:t>
      </w:r>
      <w:r>
        <w:rPr>
          <w:rFonts w:hAnsi="宋体"/>
          <w:color w:val="000000"/>
          <w:szCs w:val="18"/>
        </w:rPr>
        <w:t>当溶液混</w:t>
      </w:r>
      <w:r>
        <w:rPr>
          <w:rFonts w:hint="eastAsia" w:hAnsi="宋体"/>
          <w:color w:val="000000"/>
          <w:szCs w:val="18"/>
        </w:rPr>
        <w:t>浊</w:t>
      </w:r>
      <w:r>
        <w:rPr>
          <w:rFonts w:hAnsi="宋体"/>
          <w:color w:val="000000"/>
          <w:szCs w:val="18"/>
        </w:rPr>
        <w:t>时，进行干过滤</w:t>
      </w:r>
      <w:r>
        <w:rPr>
          <w:rFonts w:hint="eastAsia"/>
          <w:color w:val="000000"/>
          <w:szCs w:val="18"/>
        </w:rPr>
        <w:t>。</w:t>
      </w:r>
    </w:p>
    <w:p w14:paraId="67557223">
      <w:pPr>
        <w:pStyle w:val="53"/>
        <w:spacing w:before="156" w:after="156"/>
        <w:rPr>
          <w:lang w:val="zh-CN"/>
        </w:rPr>
      </w:pPr>
      <w:r>
        <w:rPr>
          <w:rFonts w:hint="eastAsia"/>
          <w:lang w:val="zh-CN"/>
        </w:rPr>
        <w:t>空白试验溶液的制备</w:t>
      </w:r>
    </w:p>
    <w:p w14:paraId="293486EE">
      <w:pPr>
        <w:autoSpaceDE w:val="0"/>
        <w:autoSpaceDN w:val="0"/>
        <w:adjustRightInd w:val="0"/>
        <w:spacing w:line="360" w:lineRule="exact"/>
        <w:rPr>
          <w:rFonts w:ascii="黑体" w:eastAsia="黑体"/>
          <w:kern w:val="0"/>
          <w:szCs w:val="23"/>
          <w:lang w:val="zh-CN"/>
        </w:rPr>
      </w:pPr>
      <w:r>
        <w:rPr>
          <w:color w:val="000000"/>
          <w:kern w:val="0"/>
          <w:szCs w:val="22"/>
          <w:lang w:val="zh-CN"/>
        </w:rPr>
        <w:t xml:space="preserve">  </w:t>
      </w:r>
      <w:r>
        <w:rPr>
          <w:rFonts w:hint="eastAsia"/>
          <w:color w:val="000000"/>
          <w:kern w:val="0"/>
          <w:szCs w:val="22"/>
          <w:lang w:val="zh-CN"/>
        </w:rPr>
        <w:t xml:space="preserve">  </w:t>
      </w:r>
      <w:r>
        <w:rPr>
          <w:rFonts w:hAnsi="宋体"/>
          <w:bCs/>
          <w:color w:val="000000"/>
        </w:rPr>
        <w:t>除不加试样外，其它加入的试剂量与试验溶液的制备完全相同，并与试样同时进行同样处理</w:t>
      </w:r>
      <w:r>
        <w:rPr>
          <w:rFonts w:hint="eastAsia"/>
          <w:bCs/>
          <w:color w:val="000000"/>
        </w:rPr>
        <w:t>。</w:t>
      </w:r>
    </w:p>
    <w:p w14:paraId="3BD45FBF">
      <w:pPr>
        <w:pStyle w:val="53"/>
        <w:spacing w:before="156" w:after="156"/>
        <w:rPr>
          <w:lang w:val="zh-CN"/>
        </w:rPr>
      </w:pPr>
      <w:r>
        <w:rPr>
          <w:rFonts w:hint="eastAsia"/>
          <w:lang w:val="zh-CN"/>
        </w:rPr>
        <w:t>工作曲线的绘制</w:t>
      </w:r>
    </w:p>
    <w:p w14:paraId="5D8B1A69">
      <w:pPr>
        <w:tabs>
          <w:tab w:val="left" w:pos="0"/>
        </w:tabs>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用移液管分别移取</w:t>
      </w:r>
      <w:r>
        <w:rPr>
          <w:color w:val="000000"/>
          <w:kern w:val="0"/>
          <w:szCs w:val="22"/>
          <w:lang w:val="zh-CN"/>
        </w:rPr>
        <w:t>0</w:t>
      </w:r>
      <w:r>
        <w:rPr>
          <w:rFonts w:hint="eastAsia"/>
          <w:color w:val="000000"/>
          <w:kern w:val="0"/>
          <w:szCs w:val="22"/>
          <w:lang w:val="zh-CN"/>
        </w:rPr>
        <w:t xml:space="preserve">.00 </w:t>
      </w:r>
      <w:r>
        <w:rPr>
          <w:color w:val="000000"/>
          <w:kern w:val="0"/>
          <w:szCs w:val="22"/>
          <w:lang w:val="zh-CN"/>
        </w:rPr>
        <w:t>mL</w:t>
      </w:r>
      <w:r>
        <w:rPr>
          <w:rFonts w:hint="eastAsia"/>
          <w:color w:val="000000"/>
          <w:kern w:val="0"/>
          <w:szCs w:val="22"/>
          <w:lang w:val="zh-CN"/>
        </w:rPr>
        <w:t xml:space="preserve">、0.50 </w:t>
      </w:r>
      <w:r>
        <w:rPr>
          <w:color w:val="000000"/>
          <w:kern w:val="0"/>
          <w:szCs w:val="22"/>
          <w:lang w:val="zh-CN"/>
        </w:rPr>
        <w:t>mL</w:t>
      </w:r>
      <w:r>
        <w:rPr>
          <w:rFonts w:hint="eastAsia"/>
          <w:color w:val="000000"/>
          <w:kern w:val="0"/>
          <w:szCs w:val="22"/>
          <w:lang w:val="zh-CN"/>
        </w:rPr>
        <w:t>、1.</w:t>
      </w:r>
      <w:r>
        <w:rPr>
          <w:color w:val="000000"/>
          <w:kern w:val="0"/>
          <w:szCs w:val="22"/>
          <w:lang w:val="zh-CN"/>
        </w:rPr>
        <w:t>0</w:t>
      </w:r>
      <w:r>
        <w:rPr>
          <w:rFonts w:hint="eastAsia"/>
          <w:color w:val="000000"/>
          <w:kern w:val="0"/>
          <w:szCs w:val="22"/>
          <w:lang w:val="zh-CN"/>
        </w:rPr>
        <w:t xml:space="preserve">0 </w:t>
      </w:r>
      <w:r>
        <w:rPr>
          <w:color w:val="000000"/>
          <w:kern w:val="0"/>
          <w:szCs w:val="22"/>
          <w:lang w:val="zh-CN"/>
        </w:rPr>
        <w:t>mL</w:t>
      </w:r>
      <w:r>
        <w:rPr>
          <w:rFonts w:hint="eastAsia"/>
          <w:color w:val="000000"/>
          <w:kern w:val="0"/>
          <w:szCs w:val="22"/>
          <w:lang w:val="zh-CN"/>
        </w:rPr>
        <w:t>、2.</w:t>
      </w:r>
      <w:r>
        <w:rPr>
          <w:color w:val="000000"/>
          <w:kern w:val="0"/>
          <w:szCs w:val="22"/>
          <w:lang w:val="zh-CN"/>
        </w:rPr>
        <w:t>0</w:t>
      </w:r>
      <w:r>
        <w:rPr>
          <w:rFonts w:hint="eastAsia"/>
          <w:color w:val="000000"/>
          <w:kern w:val="0"/>
          <w:szCs w:val="22"/>
          <w:lang w:val="zh-CN"/>
        </w:rPr>
        <w:t xml:space="preserve">0 </w:t>
      </w:r>
      <w:r>
        <w:rPr>
          <w:color w:val="000000"/>
          <w:kern w:val="0"/>
          <w:szCs w:val="22"/>
          <w:lang w:val="zh-CN"/>
        </w:rPr>
        <w:t>mL</w:t>
      </w:r>
      <w:r>
        <w:rPr>
          <w:rFonts w:hint="eastAsia"/>
          <w:color w:val="000000"/>
          <w:kern w:val="0"/>
          <w:szCs w:val="22"/>
          <w:lang w:val="zh-CN"/>
        </w:rPr>
        <w:t>、3.</w:t>
      </w:r>
      <w:r>
        <w:rPr>
          <w:color w:val="000000"/>
          <w:kern w:val="0"/>
          <w:szCs w:val="22"/>
          <w:lang w:val="zh-CN"/>
        </w:rPr>
        <w:t>0</w:t>
      </w:r>
      <w:r>
        <w:rPr>
          <w:rFonts w:hint="eastAsia"/>
          <w:color w:val="000000"/>
          <w:kern w:val="0"/>
          <w:szCs w:val="22"/>
          <w:lang w:val="zh-CN"/>
        </w:rPr>
        <w:t xml:space="preserve">0 </w:t>
      </w:r>
      <w:r>
        <w:rPr>
          <w:color w:val="000000"/>
          <w:kern w:val="0"/>
          <w:szCs w:val="22"/>
          <w:lang w:val="zh-CN"/>
        </w:rPr>
        <w:t>mL</w:t>
      </w:r>
      <w:r>
        <w:rPr>
          <w:rFonts w:hint="eastAsia"/>
          <w:color w:val="000000"/>
          <w:kern w:val="0"/>
          <w:szCs w:val="22"/>
          <w:lang w:val="zh-CN"/>
        </w:rPr>
        <w:t>、4.</w:t>
      </w:r>
      <w:r>
        <w:rPr>
          <w:color w:val="000000"/>
          <w:kern w:val="0"/>
          <w:szCs w:val="22"/>
          <w:lang w:val="zh-CN"/>
        </w:rPr>
        <w:t>0</w:t>
      </w:r>
      <w:r>
        <w:rPr>
          <w:rFonts w:hint="eastAsia"/>
          <w:color w:val="000000"/>
          <w:kern w:val="0"/>
          <w:szCs w:val="22"/>
          <w:lang w:val="zh-CN"/>
        </w:rPr>
        <w:t xml:space="preserve">0 </w:t>
      </w:r>
      <w:r>
        <w:rPr>
          <w:color w:val="000000"/>
          <w:kern w:val="0"/>
          <w:szCs w:val="22"/>
          <w:lang w:val="zh-CN"/>
        </w:rPr>
        <w:t>mL</w:t>
      </w:r>
      <w:r>
        <w:rPr>
          <w:rFonts w:hint="eastAsia"/>
          <w:color w:val="000000"/>
          <w:kern w:val="0"/>
          <w:szCs w:val="22"/>
          <w:lang w:val="zh-CN"/>
        </w:rPr>
        <w:t>铁标准溶液（相当于铁含量</w:t>
      </w:r>
      <w:r>
        <w:rPr>
          <w:color w:val="000000"/>
          <w:kern w:val="0"/>
          <w:szCs w:val="22"/>
          <w:lang w:val="zh-CN"/>
        </w:rPr>
        <w:t>0 mg</w:t>
      </w:r>
      <w:r>
        <w:rPr>
          <w:rFonts w:hint="eastAsia"/>
          <w:color w:val="000000"/>
          <w:kern w:val="0"/>
          <w:szCs w:val="22"/>
          <w:lang w:val="zh-CN"/>
        </w:rPr>
        <w:t>、0.0</w:t>
      </w:r>
      <w:r>
        <w:rPr>
          <w:color w:val="000000"/>
          <w:kern w:val="0"/>
          <w:szCs w:val="22"/>
          <w:lang w:val="zh-CN"/>
        </w:rPr>
        <w:t>10 mg</w:t>
      </w:r>
      <w:r>
        <w:rPr>
          <w:rFonts w:hint="eastAsia"/>
          <w:color w:val="000000"/>
          <w:kern w:val="0"/>
          <w:szCs w:val="22"/>
          <w:lang w:val="zh-CN"/>
        </w:rPr>
        <w:t>、0.02</w:t>
      </w:r>
      <w:r>
        <w:rPr>
          <w:color w:val="000000"/>
          <w:kern w:val="0"/>
          <w:szCs w:val="22"/>
          <w:lang w:val="zh-CN"/>
        </w:rPr>
        <w:t>0 mg</w:t>
      </w:r>
      <w:r>
        <w:rPr>
          <w:rFonts w:hint="eastAsia"/>
          <w:color w:val="000000"/>
          <w:kern w:val="0"/>
          <w:szCs w:val="22"/>
          <w:lang w:val="zh-CN"/>
        </w:rPr>
        <w:t>、0.04</w:t>
      </w:r>
      <w:r>
        <w:rPr>
          <w:color w:val="000000"/>
          <w:kern w:val="0"/>
          <w:szCs w:val="22"/>
          <w:lang w:val="zh-CN"/>
        </w:rPr>
        <w:t>0 mg</w:t>
      </w:r>
      <w:r>
        <w:rPr>
          <w:rFonts w:hint="eastAsia"/>
          <w:color w:val="000000"/>
          <w:kern w:val="0"/>
          <w:szCs w:val="22"/>
          <w:lang w:val="zh-CN"/>
        </w:rPr>
        <w:t>、0.06</w:t>
      </w:r>
      <w:r>
        <w:rPr>
          <w:color w:val="000000"/>
          <w:kern w:val="0"/>
          <w:szCs w:val="22"/>
          <w:lang w:val="zh-CN"/>
        </w:rPr>
        <w:t>0</w:t>
      </w:r>
      <w:r>
        <w:rPr>
          <w:rFonts w:hint="eastAsia"/>
          <w:color w:val="000000"/>
          <w:kern w:val="0"/>
          <w:szCs w:val="22"/>
          <w:lang w:val="zh-CN"/>
        </w:rPr>
        <w:t xml:space="preserve"> </w:t>
      </w:r>
      <w:r>
        <w:rPr>
          <w:color w:val="000000"/>
          <w:kern w:val="0"/>
          <w:szCs w:val="22"/>
          <w:lang w:val="zh-CN"/>
        </w:rPr>
        <w:t>mg</w:t>
      </w:r>
      <w:r>
        <w:rPr>
          <w:rFonts w:hint="eastAsia"/>
          <w:color w:val="000000"/>
          <w:kern w:val="0"/>
          <w:szCs w:val="22"/>
          <w:lang w:val="zh-CN"/>
        </w:rPr>
        <w:t>、0.08</w:t>
      </w:r>
      <w:r>
        <w:rPr>
          <w:color w:val="000000"/>
          <w:kern w:val="0"/>
          <w:szCs w:val="22"/>
          <w:lang w:val="zh-CN"/>
        </w:rPr>
        <w:t>0 mg</w:t>
      </w:r>
      <w:r>
        <w:rPr>
          <w:rFonts w:hint="eastAsia"/>
          <w:color w:val="000000"/>
          <w:kern w:val="0"/>
          <w:szCs w:val="22"/>
          <w:lang w:val="zh-CN"/>
        </w:rPr>
        <w:t>），置于6个</w:t>
      </w:r>
      <w:r>
        <w:rPr>
          <w:color w:val="000000"/>
          <w:kern w:val="0"/>
          <w:szCs w:val="22"/>
          <w:lang w:val="zh-CN"/>
        </w:rPr>
        <w:t>100</w:t>
      </w:r>
      <w:r>
        <w:rPr>
          <w:rFonts w:hint="eastAsia"/>
          <w:color w:val="000000"/>
          <w:kern w:val="0"/>
          <w:szCs w:val="22"/>
          <w:lang w:val="zh-CN"/>
        </w:rPr>
        <w:t xml:space="preserve"> </w:t>
      </w:r>
      <w:r>
        <w:rPr>
          <w:color w:val="000000"/>
          <w:kern w:val="0"/>
          <w:szCs w:val="22"/>
          <w:lang w:val="zh-CN"/>
        </w:rPr>
        <w:t>mL</w:t>
      </w:r>
      <w:r>
        <w:rPr>
          <w:rFonts w:hint="eastAsia"/>
          <w:color w:val="000000"/>
          <w:kern w:val="0"/>
          <w:szCs w:val="22"/>
          <w:lang w:val="zh-CN"/>
        </w:rPr>
        <w:t>容量瓶中。选用5 cm比色皿，以下操作按GB/T 3049—2006的规定，从6.</w:t>
      </w:r>
      <w:r>
        <w:rPr>
          <w:color w:val="000000"/>
          <w:kern w:val="0"/>
          <w:szCs w:val="22"/>
          <w:lang w:val="zh-CN"/>
        </w:rPr>
        <w:t>3</w:t>
      </w:r>
      <w:r>
        <w:rPr>
          <w:rFonts w:hint="eastAsia"/>
          <w:color w:val="000000"/>
          <w:kern w:val="0"/>
          <w:szCs w:val="22"/>
          <w:lang w:val="zh-CN"/>
        </w:rPr>
        <w:t>.</w:t>
      </w:r>
      <w:r>
        <w:rPr>
          <w:color w:val="000000"/>
          <w:kern w:val="0"/>
          <w:szCs w:val="22"/>
          <w:lang w:val="zh-CN"/>
        </w:rPr>
        <w:t>2</w:t>
      </w:r>
      <w:r>
        <w:rPr>
          <w:rFonts w:hint="eastAsia"/>
          <w:color w:val="000000"/>
          <w:kern w:val="0"/>
          <w:szCs w:val="22"/>
          <w:lang w:val="zh-CN"/>
        </w:rPr>
        <w:t>条开始，至6.3.4条为止。</w:t>
      </w:r>
    </w:p>
    <w:p w14:paraId="279E25E3">
      <w:pPr>
        <w:pStyle w:val="53"/>
        <w:spacing w:before="156" w:after="156"/>
        <w:rPr>
          <w:lang w:val="zh-CN"/>
        </w:rPr>
      </w:pPr>
      <w:r>
        <w:rPr>
          <w:rFonts w:hint="eastAsia"/>
        </w:rPr>
        <w:t>试验</w:t>
      </w:r>
    </w:p>
    <w:p w14:paraId="478B2687">
      <w:pPr>
        <w:tabs>
          <w:tab w:val="left" w:pos="0"/>
        </w:tabs>
        <w:autoSpaceDE w:val="0"/>
        <w:autoSpaceDN w:val="0"/>
        <w:adjustRightInd w:val="0"/>
        <w:spacing w:line="360" w:lineRule="exact"/>
        <w:rPr>
          <w:kern w:val="0"/>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用移液管移取1</w:t>
      </w:r>
      <w:r>
        <w:rPr>
          <w:color w:val="000000"/>
          <w:kern w:val="0"/>
          <w:szCs w:val="22"/>
          <w:lang w:val="zh-CN"/>
        </w:rPr>
        <w:t>0</w:t>
      </w:r>
      <w:r>
        <w:rPr>
          <w:rFonts w:hint="eastAsia"/>
          <w:color w:val="000000"/>
          <w:kern w:val="0"/>
          <w:szCs w:val="22"/>
          <w:lang w:val="zh-CN"/>
        </w:rPr>
        <w:t xml:space="preserve"> </w:t>
      </w:r>
      <w:r>
        <w:rPr>
          <w:color w:val="000000"/>
          <w:kern w:val="0"/>
          <w:szCs w:val="22"/>
          <w:lang w:val="zh-CN"/>
        </w:rPr>
        <w:t>mL</w:t>
      </w:r>
      <w:r>
        <w:rPr>
          <w:rFonts w:hint="eastAsia"/>
          <w:color w:val="000000"/>
          <w:kern w:val="0"/>
          <w:szCs w:val="22"/>
          <w:lang w:val="zh-CN"/>
        </w:rPr>
        <w:t>试验溶液和空白试验溶液，分别置于</w:t>
      </w:r>
      <w:r>
        <w:rPr>
          <w:color w:val="000000"/>
          <w:kern w:val="0"/>
          <w:szCs w:val="22"/>
          <w:lang w:val="zh-CN"/>
        </w:rPr>
        <w:t>100</w:t>
      </w:r>
      <w:r>
        <w:rPr>
          <w:rFonts w:hint="eastAsia"/>
          <w:color w:val="000000"/>
          <w:kern w:val="0"/>
          <w:szCs w:val="22"/>
          <w:lang w:val="zh-CN"/>
        </w:rPr>
        <w:t xml:space="preserve"> </w:t>
      </w:r>
      <w:r>
        <w:rPr>
          <w:color w:val="000000"/>
          <w:kern w:val="0"/>
          <w:szCs w:val="22"/>
          <w:lang w:val="zh-CN"/>
        </w:rPr>
        <w:t>mL</w:t>
      </w:r>
      <w:r>
        <w:rPr>
          <w:rFonts w:hint="eastAsia"/>
          <w:color w:val="000000"/>
          <w:kern w:val="0"/>
          <w:szCs w:val="22"/>
          <w:lang w:val="zh-CN"/>
        </w:rPr>
        <w:t>烧杯中，以下操作按GB/T 3049—</w:t>
      </w:r>
      <w:r>
        <w:rPr>
          <w:rFonts w:hint="eastAsia"/>
          <w:kern w:val="0"/>
          <w:szCs w:val="22"/>
          <w:lang w:val="zh-CN"/>
        </w:rPr>
        <w:t>2006的6.4条，从“有必要，加水至60mL……”开始操作。</w:t>
      </w:r>
      <w:r>
        <w:rPr>
          <w:rFonts w:hint="eastAsia"/>
          <w:kern w:val="0"/>
          <w:lang w:val="zh-CN"/>
        </w:rPr>
        <w:t>以水调零，测量试验溶液和空白试验溶液的吸光度。从工作曲线上查得试验溶液和空白试验溶液中铁的质量。</w:t>
      </w:r>
    </w:p>
    <w:p w14:paraId="7E6E66F2">
      <w:pPr>
        <w:pStyle w:val="53"/>
        <w:spacing w:before="156" w:after="156"/>
        <w:rPr>
          <w:lang w:val="zh-CN"/>
        </w:rPr>
      </w:pPr>
      <w:r>
        <w:rPr>
          <w:rFonts w:hint="eastAsia"/>
        </w:rPr>
        <w:t>试验数据处理</w:t>
      </w:r>
    </w:p>
    <w:p w14:paraId="57D4A626">
      <w:pPr>
        <w:tabs>
          <w:tab w:val="left" w:pos="0"/>
        </w:tabs>
        <w:autoSpaceDE w:val="0"/>
        <w:autoSpaceDN w:val="0"/>
        <w:adjustRightInd w:val="0"/>
        <w:spacing w:line="360" w:lineRule="exact"/>
        <w:ind w:firstLine="420"/>
        <w:rPr>
          <w:color w:val="000000"/>
          <w:kern w:val="0"/>
          <w:szCs w:val="22"/>
          <w:lang w:val="zh-CN"/>
        </w:rPr>
      </w:pPr>
      <w:r>
        <w:rPr>
          <w:rFonts w:hint="eastAsia"/>
          <w:color w:val="000000"/>
          <w:kern w:val="0"/>
          <w:szCs w:val="22"/>
          <w:lang w:val="zh-CN"/>
        </w:rPr>
        <w:t>铁含量以铁</w:t>
      </w:r>
      <w:r>
        <w:rPr>
          <w:color w:val="000000"/>
          <w:kern w:val="0"/>
          <w:szCs w:val="22"/>
          <w:lang w:val="zh-CN"/>
        </w:rPr>
        <w:t>（Fe）</w:t>
      </w:r>
      <w:r>
        <w:rPr>
          <w:rFonts w:hint="eastAsia"/>
          <w:color w:val="000000"/>
          <w:kern w:val="0"/>
          <w:szCs w:val="22"/>
          <w:lang w:val="zh-CN"/>
        </w:rPr>
        <w:t>的质量分数</w:t>
      </w:r>
      <w:r>
        <w:rPr>
          <w:rFonts w:hint="eastAsia"/>
          <w:i/>
          <w:color w:val="000000"/>
          <w:kern w:val="0"/>
          <w:szCs w:val="22"/>
          <w:lang w:val="zh-CN"/>
        </w:rPr>
        <w:t>w</w:t>
      </w:r>
      <w:r>
        <w:rPr>
          <w:rFonts w:hint="eastAsia"/>
          <w:color w:val="000000"/>
          <w:kern w:val="0"/>
          <w:szCs w:val="22"/>
          <w:vertAlign w:val="subscript"/>
        </w:rPr>
        <w:t>6</w:t>
      </w:r>
      <w:r>
        <w:rPr>
          <w:rFonts w:hint="eastAsia"/>
          <w:color w:val="000000"/>
          <w:kern w:val="0"/>
          <w:szCs w:val="22"/>
          <w:lang w:val="zh-CN"/>
        </w:rPr>
        <w:t>计，按公式</w:t>
      </w:r>
      <w:r>
        <w:rPr>
          <w:color w:val="000000"/>
          <w:kern w:val="0"/>
          <w:szCs w:val="22"/>
          <w:lang w:val="zh-CN"/>
        </w:rPr>
        <w:t>（</w:t>
      </w:r>
      <w:r>
        <w:rPr>
          <w:rFonts w:hint="eastAsia"/>
          <w:color w:val="000000"/>
          <w:kern w:val="0"/>
          <w:szCs w:val="22"/>
          <w:lang w:val="en-US" w:eastAsia="zh-CN"/>
        </w:rPr>
        <w:t>6</w:t>
      </w:r>
      <w:r>
        <w:rPr>
          <w:color w:val="000000"/>
          <w:kern w:val="0"/>
          <w:szCs w:val="22"/>
          <w:lang w:val="zh-CN"/>
        </w:rPr>
        <w:t>）</w:t>
      </w:r>
      <w:r>
        <w:rPr>
          <w:rFonts w:hint="eastAsia"/>
          <w:color w:val="000000"/>
          <w:kern w:val="0"/>
          <w:szCs w:val="22"/>
          <w:lang w:val="zh-CN"/>
        </w:rPr>
        <w:t>计算：</w:t>
      </w:r>
    </w:p>
    <w:p w14:paraId="78425FEB">
      <w:pPr>
        <w:tabs>
          <w:tab w:val="left" w:pos="0"/>
        </w:tabs>
        <w:autoSpaceDE w:val="0"/>
        <w:autoSpaceDN w:val="0"/>
        <w:adjustRightInd w:val="0"/>
        <w:jc w:val="right"/>
        <w:rPr>
          <w:color w:val="000000"/>
          <w:kern w:val="0"/>
          <w:szCs w:val="22"/>
          <w:lang w:val="zh-CN"/>
        </w:rPr>
      </w:pPr>
      <w:r>
        <w:rPr>
          <w:position w:val="-30"/>
          <w:szCs w:val="28"/>
        </w:rPr>
        <w:object>
          <v:shape id="_x0000_i1030" o:spt="75" type="#_x0000_t75" style="height:36pt;width:140.2pt;" o:ole="t" filled="f" o:preferrelative="t" stroked="f" coordsize="21600,21600">
            <v:path/>
            <v:fill on="f" focussize="0,0"/>
            <v:stroke on="f" joinstyle="miter"/>
            <v:imagedata r:id="rId17" o:title=""/>
            <o:lock v:ext="edit" aspectratio="t"/>
            <w10:wrap type="none"/>
            <w10:anchorlock/>
          </v:shape>
          <o:OLEObject Type="Embed" ProgID="Equation.3" ShapeID="_x0000_i1030" DrawAspect="Content" ObjectID="_1468075730" r:id="rId16">
            <o:LockedField>false</o:LockedField>
          </o:OLEObject>
        </w:object>
      </w:r>
      <w:r>
        <w:rPr>
          <w:rFonts w:ascii="宋体" w:hAnsi="宋体"/>
          <w:color w:val="000000"/>
          <w:kern w:val="0"/>
          <w:szCs w:val="22"/>
          <w:lang w:val="zh-CN"/>
        </w:rPr>
        <w:t>…………………………………</w:t>
      </w:r>
      <w:r>
        <w:rPr>
          <w:color w:val="000000"/>
          <w:kern w:val="0"/>
          <w:szCs w:val="22"/>
          <w:lang w:val="zh-CN"/>
        </w:rPr>
        <w:t>（</w:t>
      </w:r>
      <w:r>
        <w:rPr>
          <w:rFonts w:hint="eastAsia"/>
          <w:color w:val="000000"/>
          <w:kern w:val="0"/>
          <w:szCs w:val="22"/>
          <w:lang w:val="en-US" w:eastAsia="zh-CN"/>
        </w:rPr>
        <w:t>6</w:t>
      </w: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p>
    <w:p w14:paraId="3013D092">
      <w:pPr>
        <w:tabs>
          <w:tab w:val="left" w:pos="0"/>
        </w:tabs>
        <w:autoSpaceDE w:val="0"/>
        <w:autoSpaceDN w:val="0"/>
        <w:adjustRightInd w:val="0"/>
        <w:spacing w:line="360" w:lineRule="exact"/>
        <w:rPr>
          <w:color w:val="000000"/>
          <w:kern w:val="0"/>
          <w:szCs w:val="22"/>
          <w:lang w:val="zh-CN"/>
        </w:rPr>
      </w:pPr>
      <w:r>
        <w:rPr>
          <w:rFonts w:hint="eastAsia"/>
          <w:color w:val="000000"/>
          <w:kern w:val="0"/>
          <w:szCs w:val="22"/>
          <w:lang w:val="zh-CN"/>
        </w:rPr>
        <w:t xml:space="preserve">    式中：</w:t>
      </w:r>
    </w:p>
    <w:p w14:paraId="080F0F78">
      <w:pPr>
        <w:tabs>
          <w:tab w:val="left" w:pos="0"/>
        </w:tabs>
        <w:autoSpaceDE w:val="0"/>
        <w:autoSpaceDN w:val="0"/>
        <w:adjustRightInd w:val="0"/>
        <w:spacing w:line="360" w:lineRule="exact"/>
        <w:ind w:firstLine="420" w:firstLineChars="200"/>
        <w:rPr>
          <w:color w:val="000000"/>
          <w:kern w:val="0"/>
          <w:szCs w:val="22"/>
          <w:lang w:val="zh-CN"/>
        </w:rPr>
      </w:pPr>
      <w:r>
        <w:rPr>
          <w:rFonts w:hint="eastAsia"/>
          <w:i/>
          <w:color w:val="000000"/>
          <w:kern w:val="0"/>
          <w:szCs w:val="22"/>
          <w:lang w:val="zh-CN"/>
        </w:rPr>
        <w:t>m</w:t>
      </w:r>
      <w:r>
        <w:rPr>
          <w:rFonts w:hint="eastAsia"/>
          <w:color w:val="000000"/>
          <w:kern w:val="0"/>
          <w:szCs w:val="22"/>
          <w:vertAlign w:val="subscript"/>
          <w:lang w:val="zh-CN"/>
        </w:rPr>
        <w:t>1</w:t>
      </w:r>
      <w:r>
        <w:rPr>
          <w:color w:val="000000"/>
          <w:kern w:val="0"/>
          <w:szCs w:val="22"/>
          <w:lang w:val="zh-CN"/>
        </w:rPr>
        <w:t>——</w:t>
      </w:r>
      <w:r>
        <w:rPr>
          <w:rFonts w:hint="eastAsia"/>
          <w:color w:val="000000"/>
          <w:kern w:val="0"/>
          <w:szCs w:val="22"/>
          <w:lang w:val="zh-CN"/>
        </w:rPr>
        <w:t>从工作曲线上查得的试验溶液中铁的质量的数值，单位为毫克（</w:t>
      </w:r>
      <w:r>
        <w:rPr>
          <w:color w:val="000000"/>
          <w:kern w:val="0"/>
          <w:szCs w:val="22"/>
          <w:lang w:val="zh-CN"/>
        </w:rPr>
        <w:t>mg</w:t>
      </w:r>
      <w:r>
        <w:rPr>
          <w:rFonts w:hint="eastAsia"/>
          <w:color w:val="000000"/>
          <w:kern w:val="0"/>
          <w:szCs w:val="22"/>
          <w:lang w:val="zh-CN"/>
        </w:rPr>
        <w:t>）；</w:t>
      </w:r>
    </w:p>
    <w:p w14:paraId="7768CA81">
      <w:pPr>
        <w:tabs>
          <w:tab w:val="left" w:pos="0"/>
        </w:tabs>
        <w:autoSpaceDE w:val="0"/>
        <w:autoSpaceDN w:val="0"/>
        <w:adjustRightInd w:val="0"/>
        <w:spacing w:line="360" w:lineRule="exact"/>
        <w:ind w:firstLine="420" w:firstLineChars="200"/>
        <w:rPr>
          <w:color w:val="000000"/>
          <w:kern w:val="0"/>
          <w:szCs w:val="22"/>
          <w:lang w:val="zh-CN"/>
        </w:rPr>
      </w:pPr>
      <w:r>
        <w:rPr>
          <w:rFonts w:hint="eastAsia"/>
          <w:i/>
          <w:color w:val="000000"/>
          <w:kern w:val="0"/>
          <w:szCs w:val="22"/>
          <w:lang w:val="zh-CN"/>
        </w:rPr>
        <w:t>m</w:t>
      </w:r>
      <w:r>
        <w:rPr>
          <w:rFonts w:hint="eastAsia"/>
          <w:color w:val="000000"/>
          <w:kern w:val="0"/>
          <w:szCs w:val="22"/>
          <w:vertAlign w:val="subscript"/>
          <w:lang w:val="zh-CN"/>
        </w:rPr>
        <w:t>2</w:t>
      </w:r>
      <w:r>
        <w:rPr>
          <w:color w:val="000000"/>
          <w:kern w:val="0"/>
          <w:szCs w:val="22"/>
          <w:lang w:val="zh-CN"/>
        </w:rPr>
        <w:t>——</w:t>
      </w:r>
      <w:r>
        <w:rPr>
          <w:rFonts w:hint="eastAsia"/>
          <w:color w:val="000000"/>
          <w:kern w:val="0"/>
          <w:szCs w:val="22"/>
          <w:lang w:val="zh-CN"/>
        </w:rPr>
        <w:t>从工作曲线上查得的空白试验溶液中铁的质量的数值，单位为毫克（</w:t>
      </w:r>
      <w:r>
        <w:rPr>
          <w:color w:val="000000"/>
          <w:kern w:val="0"/>
          <w:szCs w:val="22"/>
          <w:lang w:val="zh-CN"/>
        </w:rPr>
        <w:t>mg</w:t>
      </w:r>
      <w:r>
        <w:rPr>
          <w:rFonts w:hint="eastAsia"/>
          <w:color w:val="000000"/>
          <w:kern w:val="0"/>
          <w:szCs w:val="22"/>
          <w:lang w:val="zh-CN"/>
        </w:rPr>
        <w:t>）；</w:t>
      </w:r>
    </w:p>
    <w:p w14:paraId="22BC9FE1">
      <w:pPr>
        <w:tabs>
          <w:tab w:val="left" w:pos="0"/>
        </w:tabs>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rFonts w:hint="eastAsia"/>
          <w:i/>
          <w:color w:val="000000"/>
          <w:kern w:val="0"/>
          <w:szCs w:val="22"/>
          <w:lang w:val="zh-CN"/>
        </w:rPr>
        <w:t>m</w:t>
      </w:r>
      <w:r>
        <w:rPr>
          <w:color w:val="000000"/>
          <w:kern w:val="0"/>
          <w:szCs w:val="22"/>
          <w:lang w:val="zh-CN"/>
        </w:rPr>
        <w:t>——</w:t>
      </w:r>
      <w:r>
        <w:rPr>
          <w:rFonts w:hint="eastAsia"/>
          <w:color w:val="000000"/>
          <w:kern w:val="0"/>
          <w:szCs w:val="22"/>
          <w:lang w:val="zh-CN"/>
        </w:rPr>
        <w:t>试料的质量的数值，单位为克（</w:t>
      </w:r>
      <w:r>
        <w:rPr>
          <w:color w:val="000000"/>
          <w:kern w:val="0"/>
          <w:szCs w:val="22"/>
          <w:lang w:val="zh-CN"/>
        </w:rPr>
        <w:t>g</w:t>
      </w:r>
      <w:r>
        <w:rPr>
          <w:rFonts w:hint="eastAsia"/>
          <w:color w:val="000000"/>
          <w:kern w:val="0"/>
          <w:szCs w:val="22"/>
          <w:lang w:val="zh-CN"/>
        </w:rPr>
        <w:t>）。</w:t>
      </w:r>
    </w:p>
    <w:p w14:paraId="7928EBB3">
      <w:pPr>
        <w:tabs>
          <w:tab w:val="left" w:pos="0"/>
        </w:tabs>
        <w:autoSpaceDE w:val="0"/>
        <w:autoSpaceDN w:val="0"/>
        <w:adjustRightInd w:val="0"/>
        <w:spacing w:line="360" w:lineRule="exact"/>
        <w:rPr>
          <w:color w:val="000000"/>
          <w:kern w:val="0"/>
          <w:szCs w:val="22"/>
          <w:lang w:val="zh-CN"/>
        </w:rPr>
      </w:pPr>
      <w:r>
        <w:rPr>
          <w:color w:val="000000"/>
          <w:kern w:val="0"/>
          <w:szCs w:val="22"/>
          <w:lang w:val="zh-CN"/>
        </w:rPr>
        <w:t xml:space="preserve">  </w:t>
      </w:r>
      <w:r>
        <w:rPr>
          <w:rFonts w:hint="eastAsia"/>
          <w:color w:val="000000"/>
          <w:kern w:val="0"/>
          <w:szCs w:val="22"/>
          <w:lang w:val="zh-CN"/>
        </w:rPr>
        <w:t xml:space="preserve"> </w:t>
      </w:r>
      <w:r>
        <w:rPr>
          <w:color w:val="000000"/>
          <w:kern w:val="0"/>
          <w:szCs w:val="22"/>
          <w:lang w:val="zh-CN"/>
        </w:rPr>
        <w:t xml:space="preserve"> </w:t>
      </w:r>
      <w:r>
        <w:rPr>
          <w:rFonts w:hint="eastAsia"/>
          <w:color w:val="000000"/>
          <w:kern w:val="0"/>
          <w:szCs w:val="22"/>
          <w:lang w:val="zh-CN"/>
        </w:rPr>
        <w:t>取平行测定结果的算术平均值为测定结果，两次平行测定结果的绝对差值不大于</w:t>
      </w:r>
      <w:r>
        <w:rPr>
          <w:color w:val="000000"/>
          <w:kern w:val="0"/>
          <w:szCs w:val="22"/>
          <w:lang w:val="zh-CN"/>
        </w:rPr>
        <w:t>0</w:t>
      </w:r>
      <w:r>
        <w:rPr>
          <w:rFonts w:hint="eastAsia"/>
          <w:color w:val="000000"/>
          <w:kern w:val="0"/>
          <w:szCs w:val="22"/>
          <w:lang w:val="zh-CN"/>
        </w:rPr>
        <w:t>.</w:t>
      </w:r>
      <w:r>
        <w:rPr>
          <w:color w:val="000000"/>
          <w:kern w:val="0"/>
          <w:szCs w:val="22"/>
          <w:lang w:val="zh-CN"/>
        </w:rPr>
        <w:t>000</w:t>
      </w:r>
      <w:r>
        <w:rPr>
          <w:rFonts w:hint="eastAsia"/>
          <w:color w:val="000000"/>
          <w:kern w:val="0"/>
          <w:szCs w:val="22"/>
          <w:lang w:val="zh-CN"/>
        </w:rPr>
        <w:t xml:space="preserve"> </w:t>
      </w:r>
      <w:r>
        <w:rPr>
          <w:color w:val="000000"/>
          <w:kern w:val="0"/>
          <w:szCs w:val="22"/>
          <w:lang w:val="zh-CN"/>
        </w:rPr>
        <w:t>3</w:t>
      </w:r>
      <w:r>
        <w:rPr>
          <w:rFonts w:hint="eastAsia"/>
          <w:color w:val="000000"/>
          <w:kern w:val="0"/>
          <w:szCs w:val="22"/>
          <w:lang w:val="zh-CN"/>
        </w:rPr>
        <w:t>％。</w:t>
      </w:r>
    </w:p>
    <w:p w14:paraId="47BB9C5F">
      <w:pPr>
        <w:pStyle w:val="44"/>
        <w:spacing w:before="156" w:after="156" w:line="360" w:lineRule="exact"/>
      </w:pPr>
      <w:r>
        <w:rPr>
          <w:rFonts w:hint="eastAsia"/>
        </w:rPr>
        <w:t>砷含量的测定</w:t>
      </w:r>
    </w:p>
    <w:p w14:paraId="14916A63">
      <w:pPr>
        <w:pStyle w:val="48"/>
        <w:spacing w:before="156" w:after="156"/>
      </w:pPr>
      <w:r>
        <w:rPr>
          <w:rFonts w:hint="eastAsia"/>
        </w:rPr>
        <w:t>原子荧光法（仲裁法）</w:t>
      </w:r>
    </w:p>
    <w:p w14:paraId="56212810">
      <w:pPr>
        <w:pStyle w:val="53"/>
        <w:spacing w:before="156" w:after="156"/>
      </w:pPr>
      <w:r>
        <w:rPr>
          <w:rFonts w:hint="eastAsia"/>
          <w:lang w:eastAsia="zh-CN"/>
        </w:rPr>
        <w:t>原理</w:t>
      </w:r>
    </w:p>
    <w:p w14:paraId="265F297C">
      <w:pPr>
        <w:spacing w:line="273" w:lineRule="auto"/>
        <w:ind w:firstLine="420" w:firstLineChars="200"/>
        <w:rPr>
          <w:szCs w:val="21"/>
        </w:rPr>
      </w:pPr>
      <w:r>
        <w:rPr>
          <w:rFonts w:hint="eastAsia" w:ascii="宋体" w:hAnsi="宋体" w:cs="宋体"/>
          <w:szCs w:val="21"/>
        </w:rPr>
        <w:t>样品经预处理，其中各种形态的砷均转变成三价砷（</w:t>
      </w:r>
      <w:r>
        <w:rPr>
          <w:szCs w:val="21"/>
        </w:rPr>
        <w:t>As</w:t>
      </w:r>
      <w:r>
        <w:rPr>
          <w:szCs w:val="21"/>
          <w:vertAlign w:val="superscript"/>
        </w:rPr>
        <w:t>3+</w:t>
      </w:r>
      <w:r>
        <w:rPr>
          <w:szCs w:val="21"/>
        </w:rPr>
        <w:t>)</w:t>
      </w:r>
      <w:r>
        <w:rPr>
          <w:rFonts w:hint="eastAsia" w:ascii="宋体" w:hAnsi="宋体" w:cs="宋体"/>
          <w:szCs w:val="21"/>
        </w:rPr>
        <w:t>，加入硼氢化钾与其反应，生成气态氢化砷，用氢气将气态氢化砷载入原子化器进行原子化，以砷高强度空心阴极灯作激发光源，砷原子受光辐射激发产生荧光，检测原子荧光强度，利用荧光强度在一定范围内与溶液中砷含量成正比的关系计算样品中的砷含量。</w:t>
      </w:r>
    </w:p>
    <w:p w14:paraId="01702ECF">
      <w:pPr>
        <w:pStyle w:val="53"/>
        <w:spacing w:before="156" w:after="156"/>
      </w:pPr>
      <w:r>
        <w:rPr>
          <w:rFonts w:hint="eastAsia"/>
        </w:rPr>
        <w:t>试剂或材料</w:t>
      </w:r>
    </w:p>
    <w:p w14:paraId="4D8A1620">
      <w:pPr>
        <w:pStyle w:val="120"/>
        <w:rPr>
          <w:rFonts w:ascii="Times New Roman"/>
        </w:rPr>
      </w:pPr>
      <w:r>
        <w:rPr>
          <w:rFonts w:hint="default" w:ascii="Times New Roman"/>
        </w:rPr>
        <w:t>盐酸（优级纯）。</w:t>
      </w:r>
    </w:p>
    <w:p w14:paraId="461B4DF4">
      <w:pPr>
        <w:pStyle w:val="120"/>
        <w:rPr>
          <w:rFonts w:ascii="Times New Roman"/>
        </w:rPr>
      </w:pPr>
      <w:r>
        <w:rPr>
          <w:rFonts w:hint="default" w:ascii="Times New Roman"/>
        </w:rPr>
        <w:t>硝酸（优级纯）。</w:t>
      </w:r>
    </w:p>
    <w:p w14:paraId="52C31ECE">
      <w:pPr>
        <w:pStyle w:val="120"/>
        <w:rPr>
          <w:rFonts w:ascii="Times New Roman"/>
        </w:rPr>
      </w:pPr>
      <w:r>
        <w:rPr>
          <w:rFonts w:hint="default" w:ascii="Times New Roman"/>
        </w:rPr>
        <w:t>盐酸溶液：</w:t>
      </w:r>
      <w:r>
        <w:rPr>
          <w:rFonts w:ascii="Times New Roman"/>
        </w:rPr>
        <w:t>1+19</w:t>
      </w:r>
      <w:r>
        <w:rPr>
          <w:rFonts w:hint="default" w:ascii="Times New Roman"/>
        </w:rPr>
        <w:t>。</w:t>
      </w:r>
    </w:p>
    <w:p w14:paraId="3413E8D7">
      <w:pPr>
        <w:pStyle w:val="120"/>
        <w:rPr>
          <w:rFonts w:ascii="Times New Roman"/>
        </w:rPr>
      </w:pPr>
      <w:r>
        <w:rPr>
          <w:rFonts w:hint="default" w:ascii="Times New Roman"/>
        </w:rPr>
        <w:t>硝酸溶液：</w:t>
      </w:r>
      <w:r>
        <w:rPr>
          <w:rFonts w:ascii="Times New Roman"/>
        </w:rPr>
        <w:t>1+4</w:t>
      </w:r>
      <w:r>
        <w:rPr>
          <w:rFonts w:hint="default" w:ascii="Times New Roman"/>
        </w:rPr>
        <w:t>。</w:t>
      </w:r>
    </w:p>
    <w:p w14:paraId="35E5C427">
      <w:pPr>
        <w:pStyle w:val="120"/>
        <w:rPr>
          <w:rFonts w:ascii="Times New Roman"/>
        </w:rPr>
      </w:pPr>
      <w:r>
        <w:rPr>
          <w:rFonts w:hint="default" w:ascii="Times New Roman"/>
        </w:rPr>
        <w:t>硫脲-抗坏血酸混合溶液。称取</w:t>
      </w:r>
      <w:r>
        <w:rPr>
          <w:rFonts w:ascii="Times New Roman"/>
        </w:rPr>
        <w:t>10 g</w:t>
      </w:r>
      <w:r>
        <w:rPr>
          <w:rFonts w:hint="default" w:ascii="Times New Roman"/>
        </w:rPr>
        <w:t>硫脲和</w:t>
      </w:r>
      <w:r>
        <w:rPr>
          <w:rFonts w:ascii="Times New Roman"/>
        </w:rPr>
        <w:t>l0</w:t>
      </w:r>
      <w:r>
        <w:rPr>
          <w:rFonts w:hint="default" w:ascii="Times New Roman"/>
        </w:rPr>
        <w:t xml:space="preserve"> </w:t>
      </w:r>
      <w:r>
        <w:rPr>
          <w:rFonts w:ascii="Times New Roman"/>
        </w:rPr>
        <w:t>g</w:t>
      </w:r>
      <w:r>
        <w:rPr>
          <w:rFonts w:hint="default" w:ascii="Times New Roman"/>
        </w:rPr>
        <w:t>抗坏血酸溶于</w:t>
      </w:r>
      <w:r>
        <w:rPr>
          <w:rFonts w:ascii="Times New Roman"/>
        </w:rPr>
        <w:t>200 mL</w:t>
      </w:r>
      <w:r>
        <w:rPr>
          <w:rFonts w:hint="default" w:ascii="Times New Roman"/>
        </w:rPr>
        <w:t>水中，用时现配。</w:t>
      </w:r>
    </w:p>
    <w:p w14:paraId="0AB43021">
      <w:pPr>
        <w:pStyle w:val="120"/>
        <w:rPr>
          <w:rFonts w:ascii="Times New Roman"/>
        </w:rPr>
      </w:pPr>
      <w:r>
        <w:rPr>
          <w:rFonts w:hint="default" w:ascii="Times New Roman"/>
        </w:rPr>
        <w:t>硼氢化钾-氢氧化钠溶液：称取</w:t>
      </w:r>
      <w:r>
        <w:rPr>
          <w:rFonts w:ascii="Times New Roman"/>
        </w:rPr>
        <w:t>2.0 g</w:t>
      </w:r>
      <w:r>
        <w:rPr>
          <w:rFonts w:hint="default" w:ascii="Times New Roman"/>
        </w:rPr>
        <w:t>氢氧化钠和</w:t>
      </w:r>
      <w:r>
        <w:rPr>
          <w:rFonts w:ascii="Times New Roman"/>
        </w:rPr>
        <w:t>10.0 g</w:t>
      </w:r>
      <w:r>
        <w:rPr>
          <w:rFonts w:hint="default" w:ascii="Times New Roman"/>
        </w:rPr>
        <w:t>硼氢化钾于聚乙烯烧杯中，用水溶解并稀释至</w:t>
      </w:r>
      <w:r>
        <w:rPr>
          <w:rFonts w:ascii="Times New Roman"/>
        </w:rPr>
        <w:t>1000mL</w:t>
      </w:r>
      <w:r>
        <w:rPr>
          <w:rFonts w:hint="default" w:ascii="Times New Roman"/>
        </w:rPr>
        <w:t>，贮存于棕色瓶中，该溶液现用现配。</w:t>
      </w:r>
    </w:p>
    <w:p w14:paraId="69D27D7F">
      <w:pPr>
        <w:pStyle w:val="120"/>
        <w:rPr>
          <w:rFonts w:ascii="Times New Roman"/>
        </w:rPr>
      </w:pPr>
      <w:r>
        <w:rPr>
          <w:rFonts w:hint="default" w:ascii="Times New Roman"/>
        </w:rPr>
        <w:t>砷标准贮备液：</w:t>
      </w:r>
      <w:r>
        <w:rPr>
          <w:rFonts w:ascii="Times New Roman"/>
        </w:rPr>
        <w:t>0. 1 mg/mL</w:t>
      </w:r>
      <w:r>
        <w:rPr>
          <w:rFonts w:hint="default" w:ascii="Times New Roman"/>
        </w:rPr>
        <w:t>。</w:t>
      </w:r>
    </w:p>
    <w:p w14:paraId="35679097">
      <w:pPr>
        <w:pStyle w:val="120"/>
        <w:rPr>
          <w:rFonts w:ascii="Times New Roman"/>
        </w:rPr>
      </w:pPr>
      <w:r>
        <w:rPr>
          <w:rFonts w:hint="default" w:ascii="Times New Roman"/>
        </w:rPr>
        <w:t>砷标准溶液：移取</w:t>
      </w:r>
      <w:r>
        <w:rPr>
          <w:rFonts w:ascii="Times New Roman"/>
        </w:rPr>
        <w:t>10.00 mL</w:t>
      </w:r>
      <w:r>
        <w:rPr>
          <w:rFonts w:hint="default" w:ascii="Times New Roman"/>
        </w:rPr>
        <w:t>砷标准贮备液于</w:t>
      </w:r>
      <w:r>
        <w:rPr>
          <w:rFonts w:ascii="Times New Roman"/>
        </w:rPr>
        <w:t>100 mL</w:t>
      </w:r>
      <w:r>
        <w:rPr>
          <w:rFonts w:hint="default" w:ascii="Times New Roman"/>
        </w:rPr>
        <w:t>容量瓶中，加</w:t>
      </w:r>
      <w:r>
        <w:rPr>
          <w:rFonts w:ascii="Times New Roman"/>
        </w:rPr>
        <w:t>10.0 mL</w:t>
      </w:r>
      <w:r>
        <w:rPr>
          <w:rFonts w:hint="default" w:ascii="Times New Roman"/>
        </w:rPr>
        <w:t>盐酸，用水稀释至刻度，混匀。临用时移取此溶液</w:t>
      </w:r>
      <w:r>
        <w:rPr>
          <w:rFonts w:ascii="Times New Roman"/>
        </w:rPr>
        <w:t>10.00 mL</w:t>
      </w:r>
      <w:r>
        <w:rPr>
          <w:rFonts w:hint="default" w:ascii="Times New Roman"/>
        </w:rPr>
        <w:t>置于</w:t>
      </w:r>
      <w:r>
        <w:rPr>
          <w:rFonts w:ascii="Times New Roman"/>
        </w:rPr>
        <w:t>100 mL</w:t>
      </w:r>
      <w:r>
        <w:rPr>
          <w:rFonts w:hint="default" w:ascii="Times New Roman"/>
        </w:rPr>
        <w:t>容量瓶中，加</w:t>
      </w:r>
      <w:r>
        <w:rPr>
          <w:rFonts w:ascii="Times New Roman"/>
        </w:rPr>
        <w:t>10.0 mL</w:t>
      </w:r>
      <w:r>
        <w:rPr>
          <w:rFonts w:hint="default" w:ascii="Times New Roman"/>
        </w:rPr>
        <w:t>盐酸，用水稀释至刻度，混匀。此溶液</w:t>
      </w:r>
      <w:r>
        <w:rPr>
          <w:rFonts w:ascii="Times New Roman"/>
        </w:rPr>
        <w:t>1.00 mL</w:t>
      </w:r>
      <w:r>
        <w:rPr>
          <w:rFonts w:hint="default" w:ascii="Times New Roman"/>
        </w:rPr>
        <w:t>含</w:t>
      </w:r>
      <w:r>
        <w:rPr>
          <w:rFonts w:ascii="Times New Roman"/>
        </w:rPr>
        <w:t>1 µgAs</w:t>
      </w:r>
      <w:r>
        <w:rPr>
          <w:rFonts w:hint="default" w:ascii="Times New Roman"/>
        </w:rPr>
        <w:t>。</w:t>
      </w:r>
    </w:p>
    <w:p w14:paraId="5B0871BB">
      <w:pPr>
        <w:pStyle w:val="53"/>
        <w:spacing w:before="156" w:after="156"/>
      </w:pPr>
      <w:r>
        <w:rPr>
          <w:rFonts w:hint="eastAsia"/>
        </w:rPr>
        <w:t>仪器设备</w:t>
      </w:r>
    </w:p>
    <w:p w14:paraId="1C9EDF03">
      <w:pPr>
        <w:ind w:firstLine="420" w:firstLineChars="200"/>
        <w:rPr>
          <w:szCs w:val="21"/>
        </w:rPr>
      </w:pPr>
      <w:r>
        <w:rPr>
          <w:rFonts w:hint="eastAsia" w:ascii="宋体" w:hAnsi="宋体" w:cs="宋体"/>
          <w:szCs w:val="21"/>
        </w:rPr>
        <w:t>原子荧光光谱仪：仪器性能指标符合</w:t>
      </w:r>
      <w:r>
        <w:rPr>
          <w:szCs w:val="21"/>
        </w:rPr>
        <w:t>GB/T 21191</w:t>
      </w:r>
      <w:r>
        <w:rPr>
          <w:rFonts w:hint="eastAsia" w:ascii="宋体" w:hAnsi="宋体" w:cs="宋体"/>
          <w:szCs w:val="21"/>
        </w:rPr>
        <w:t>的规定，并配有砷高强度空心阴极灯。</w:t>
      </w:r>
    </w:p>
    <w:p w14:paraId="1BE73E88">
      <w:pPr>
        <w:pStyle w:val="53"/>
        <w:spacing w:before="156" w:after="156"/>
      </w:pPr>
      <w:r>
        <w:rPr>
          <w:rFonts w:hint="eastAsia"/>
        </w:rPr>
        <w:t>试验步骤</w:t>
      </w:r>
    </w:p>
    <w:p w14:paraId="25336CC7">
      <w:pPr>
        <w:pStyle w:val="57"/>
        <w:spacing w:before="156" w:after="156"/>
      </w:pPr>
      <w:r>
        <w:rPr>
          <w:rFonts w:hint="eastAsia"/>
        </w:rPr>
        <w:t>玻璃仪器的预清洗</w:t>
      </w:r>
    </w:p>
    <w:p w14:paraId="6A5C565D">
      <w:pPr>
        <w:ind w:firstLine="420" w:firstLineChars="200"/>
        <w:rPr>
          <w:rFonts w:hint="eastAsia" w:ascii="宋体" w:hAnsi="宋体" w:cs="宋体"/>
          <w:szCs w:val="21"/>
        </w:rPr>
      </w:pPr>
      <w:r>
        <w:rPr>
          <w:rFonts w:hint="eastAsia" w:ascii="宋体" w:hAnsi="宋体" w:cs="宋体"/>
          <w:szCs w:val="21"/>
        </w:rPr>
        <w:t>实验所用玻璃器皿使用前应于硝酸溶液浸泡24 h，然后用水冲洗干净备用。</w:t>
      </w:r>
    </w:p>
    <w:p w14:paraId="2634154D">
      <w:pPr>
        <w:pStyle w:val="57"/>
        <w:spacing w:before="156" w:after="156"/>
      </w:pPr>
      <w:r>
        <w:rPr>
          <w:rFonts w:hint="eastAsia"/>
        </w:rPr>
        <w:t>校准曲线的绘制</w:t>
      </w:r>
    </w:p>
    <w:p w14:paraId="61A05C7F">
      <w:pPr>
        <w:spacing w:line="36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分别移取0.00 mL、1.00 mL、2.00 mL、4.00 mL、8.00 mL砷标准溶液于五个100 mL容量瓶中，分别加入10 mL盐酸，20 mL硫脲溶液，用水稀释至刻度，摇匀。此系列溶液中砷的质量浓度分别为0、10 µg/L、20 µg/L、40 µg/L、80 µg/L。</w:t>
      </w:r>
    </w:p>
    <w:p w14:paraId="4DE4D352">
      <w:pPr>
        <w:spacing w:line="360" w:lineRule="exact"/>
        <w:ind w:firstLine="420" w:firstLineChars="200"/>
        <w:rPr>
          <w:rFonts w:hint="default" w:ascii="Times New Roman" w:hAnsi="Times New Roman" w:cs="Times New Roman"/>
          <w:szCs w:val="21"/>
        </w:rPr>
      </w:pPr>
      <w:r>
        <w:rPr>
          <w:rFonts w:hint="default" w:ascii="Times New Roman" w:hAnsi="Times New Roman" w:cs="Times New Roman"/>
          <w:szCs w:val="21"/>
        </w:rPr>
        <w:t>仪器稳定后，以硼氢化钾-氢氧化钠溶液为还原剂，以盐酸溶液为载流溶液，在仪器最佳工作条件下测定其荧光值。以测得的荧光值为纵坐标，相对应的砷的质量浓度（µg/L）为横坐标绘制校准曲线或计算回归方程。</w:t>
      </w:r>
    </w:p>
    <w:p w14:paraId="61720CA1">
      <w:pPr>
        <w:ind w:firstLine="360" w:firstLineChars="200"/>
        <w:rPr>
          <w:sz w:val="18"/>
          <w:szCs w:val="18"/>
        </w:rPr>
      </w:pPr>
      <w:r>
        <w:rPr>
          <w:rFonts w:hint="eastAsia" w:ascii="黑体" w:hAnsi="黑体" w:eastAsia="黑体" w:cs="黑体"/>
          <w:sz w:val="18"/>
          <w:szCs w:val="18"/>
        </w:rPr>
        <w:t>注：</w:t>
      </w:r>
      <w:r>
        <w:rPr>
          <w:rFonts w:hint="eastAsia"/>
          <w:sz w:val="18"/>
          <w:szCs w:val="18"/>
        </w:rPr>
        <w:t>使用原子荧光光谱仪测定时，所需的硼氢化钾溶液浓度、载流溶液浓度以及砷元素校准曲线线性范围、样品溶液的酸度会因仪器的型号不同而有差异，使用者可根据仪器型号选择最佳测试条件。</w:t>
      </w:r>
    </w:p>
    <w:p w14:paraId="6D1C3D1B">
      <w:pPr>
        <w:pStyle w:val="57"/>
        <w:spacing w:before="156" w:after="156"/>
      </w:pPr>
      <w:r>
        <w:rPr>
          <w:rFonts w:hint="eastAsia"/>
        </w:rPr>
        <w:t>试验</w:t>
      </w:r>
    </w:p>
    <w:p w14:paraId="1A411DF9">
      <w:pPr>
        <w:spacing w:line="360" w:lineRule="exact"/>
        <w:ind w:firstLine="420" w:firstLineChars="200"/>
        <w:rPr>
          <w:rFonts w:ascii="Times New Roman"/>
          <w:szCs w:val="21"/>
        </w:rPr>
      </w:pPr>
      <w:r>
        <w:rPr>
          <w:rFonts w:hint="default" w:hAnsi="Times New Roman" w:cs="Times New Roman"/>
          <w:szCs w:val="21"/>
        </w:rPr>
        <w:t>称取适量样品（使所取样品中砷的质量在</w:t>
      </w:r>
      <w:r>
        <w:rPr>
          <w:rFonts w:ascii="Times New Roman"/>
          <w:szCs w:val="21"/>
        </w:rPr>
        <w:t>0.005</w:t>
      </w:r>
      <w:r>
        <w:rPr>
          <w:rFonts w:hint="default" w:ascii="Times New Roman" w:hAnsi="Times New Roman" w:cs="Times New Roman"/>
          <w:szCs w:val="21"/>
        </w:rPr>
        <w:t xml:space="preserve"> </w:t>
      </w:r>
      <w:r>
        <w:rPr>
          <w:rFonts w:ascii="Times New Roman"/>
          <w:szCs w:val="21"/>
        </w:rPr>
        <w:t>μg</w:t>
      </w:r>
      <w:r>
        <w:rPr>
          <w:rFonts w:hint="default" w:hAnsi="Times New Roman" w:cs="Times New Roman"/>
          <w:szCs w:val="21"/>
        </w:rPr>
        <w:t>～</w:t>
      </w:r>
      <w:r>
        <w:rPr>
          <w:rFonts w:ascii="Times New Roman"/>
          <w:szCs w:val="21"/>
        </w:rPr>
        <w:t>8</w:t>
      </w:r>
      <w:r>
        <w:rPr>
          <w:rFonts w:hint="default" w:ascii="Times New Roman" w:hAnsi="Times New Roman" w:cs="Times New Roman"/>
          <w:szCs w:val="21"/>
        </w:rPr>
        <w:t xml:space="preserve"> </w:t>
      </w:r>
      <w:r>
        <w:rPr>
          <w:rFonts w:ascii="Times New Roman"/>
          <w:szCs w:val="21"/>
        </w:rPr>
        <w:t>μg</w:t>
      </w:r>
      <w:r>
        <w:rPr>
          <w:rFonts w:hint="default" w:hAnsi="Times New Roman" w:cs="Times New Roman"/>
          <w:szCs w:val="21"/>
        </w:rPr>
        <w:t>之间），精确至</w:t>
      </w:r>
      <w:r>
        <w:rPr>
          <w:rFonts w:ascii="Times New Roman"/>
          <w:szCs w:val="21"/>
        </w:rPr>
        <w:t>0.000 2 g</w:t>
      </w:r>
      <w:r>
        <w:rPr>
          <w:rFonts w:hint="default" w:hAnsi="Times New Roman" w:cs="Times New Roman"/>
          <w:szCs w:val="21"/>
        </w:rPr>
        <w:t>。置于</w:t>
      </w:r>
      <w:r>
        <w:rPr>
          <w:rFonts w:ascii="Times New Roman"/>
          <w:szCs w:val="21"/>
        </w:rPr>
        <w:t>100 mL</w:t>
      </w:r>
      <w:r>
        <w:rPr>
          <w:rFonts w:hint="default" w:hAnsi="Times New Roman" w:cs="Times New Roman"/>
          <w:szCs w:val="21"/>
        </w:rPr>
        <w:t>烧杯中，加</w:t>
      </w:r>
      <w:r>
        <w:rPr>
          <w:rFonts w:ascii="Times New Roman"/>
          <w:szCs w:val="21"/>
        </w:rPr>
        <w:t>30 mL</w:t>
      </w:r>
      <w:r>
        <w:rPr>
          <w:rFonts w:hint="default" w:hAnsi="Times New Roman" w:cs="Times New Roman"/>
          <w:szCs w:val="21"/>
        </w:rPr>
        <w:t>水，盖上表面皿煮沸约</w:t>
      </w:r>
      <w:r>
        <w:rPr>
          <w:rFonts w:ascii="Times New Roman"/>
          <w:szCs w:val="21"/>
        </w:rPr>
        <w:t>1 min</w:t>
      </w:r>
      <w:r>
        <w:rPr>
          <w:rFonts w:hint="default" w:hAnsi="Times New Roman" w:cs="Times New Roman"/>
          <w:szCs w:val="21"/>
        </w:rPr>
        <w:t>，冷至室温后转移至</w:t>
      </w:r>
      <w:r>
        <w:rPr>
          <w:rFonts w:ascii="Times New Roman"/>
          <w:szCs w:val="21"/>
        </w:rPr>
        <w:t>100 mL</w:t>
      </w:r>
      <w:r>
        <w:rPr>
          <w:rFonts w:hint="default" w:hAnsi="Times New Roman" w:cs="Times New Roman"/>
          <w:szCs w:val="21"/>
        </w:rPr>
        <w:t>容量瓶中。加入</w:t>
      </w:r>
      <w:r>
        <w:rPr>
          <w:rFonts w:ascii="Times New Roman"/>
          <w:szCs w:val="21"/>
        </w:rPr>
        <w:t>10 mL</w:t>
      </w:r>
      <w:r>
        <w:rPr>
          <w:rFonts w:hint="default" w:hAnsi="Times New Roman" w:cs="Times New Roman"/>
          <w:szCs w:val="21"/>
        </w:rPr>
        <w:t>盐酸、</w:t>
      </w:r>
      <w:r>
        <w:rPr>
          <w:rFonts w:ascii="Times New Roman"/>
          <w:szCs w:val="21"/>
        </w:rPr>
        <w:t>20 mL</w:t>
      </w:r>
      <w:r>
        <w:rPr>
          <w:rFonts w:hint="default" w:hAnsi="Times New Roman" w:cs="Times New Roman"/>
          <w:szCs w:val="21"/>
        </w:rPr>
        <w:t>硫脲溶液，用水稀释至刻度，摇匀。按</w:t>
      </w:r>
      <w:r>
        <w:rPr>
          <w:rFonts w:ascii="Times New Roman"/>
          <w:szCs w:val="21"/>
        </w:rPr>
        <w:t>7.</w:t>
      </w:r>
      <w:r>
        <w:rPr>
          <w:rFonts w:hint="default" w:ascii="Times New Roman"/>
          <w:szCs w:val="21"/>
          <w:lang w:val="en-US" w:eastAsia="zh-CN"/>
        </w:rPr>
        <w:t>8</w:t>
      </w:r>
      <w:r>
        <w:rPr>
          <w:rFonts w:ascii="Times New Roman"/>
          <w:szCs w:val="21"/>
        </w:rPr>
        <w:t>.1.4.2</w:t>
      </w:r>
      <w:r>
        <w:rPr>
          <w:rFonts w:hint="default" w:hAnsi="Times New Roman" w:cs="Times New Roman"/>
          <w:szCs w:val="21"/>
        </w:rPr>
        <w:t>的步骤进行测定（如有浑浊，使用中速定量滤纸干过滤后测定），由校准曲线查得或回归方程计算出砷的质量浓度的数值。</w:t>
      </w:r>
    </w:p>
    <w:p w14:paraId="1098EB2D">
      <w:pPr>
        <w:pStyle w:val="53"/>
        <w:spacing w:before="156" w:after="156"/>
      </w:pPr>
      <w:r>
        <w:rPr>
          <w:rFonts w:hint="eastAsia"/>
        </w:rPr>
        <w:t>试验数据处理</w:t>
      </w:r>
    </w:p>
    <w:p w14:paraId="42D60E1E">
      <w:pPr>
        <w:pStyle w:val="24"/>
        <w:rPr>
          <w:rFonts w:hint="eastAsia" w:hAnsi="宋体" w:cs="宋体"/>
          <w:szCs w:val="21"/>
        </w:rPr>
      </w:pPr>
      <w:r>
        <w:rPr>
          <w:rFonts w:hint="eastAsia" w:hAnsi="宋体" w:cs="宋体"/>
          <w:szCs w:val="21"/>
        </w:rPr>
        <w:t>砷含量砷（As）的质量分数</w:t>
      </w:r>
      <w:r>
        <w:rPr>
          <w:rFonts w:ascii="Times New Roman"/>
          <w:i/>
          <w:szCs w:val="21"/>
        </w:rPr>
        <w:t>w</w:t>
      </w:r>
      <w:r>
        <w:rPr>
          <w:rFonts w:hint="eastAsia" w:ascii="Times New Roman"/>
          <w:szCs w:val="21"/>
          <w:vertAlign w:val="subscript"/>
        </w:rPr>
        <w:t>7</w:t>
      </w:r>
      <w:r>
        <w:rPr>
          <w:rFonts w:hint="eastAsia" w:hAnsi="宋体" w:cs="宋体"/>
          <w:szCs w:val="21"/>
        </w:rPr>
        <w:t>计，按公式（</w:t>
      </w:r>
      <w:r>
        <w:rPr>
          <w:rFonts w:hint="eastAsia" w:ascii="Times New Roman"/>
          <w:szCs w:val="21"/>
          <w:lang w:val="en-US" w:eastAsia="zh-CN"/>
        </w:rPr>
        <w:t>7</w:t>
      </w:r>
      <w:r>
        <w:rPr>
          <w:rFonts w:hint="eastAsia" w:hAnsi="宋体" w:cs="宋体"/>
          <w:szCs w:val="21"/>
        </w:rPr>
        <w:t>）计算：</w:t>
      </w:r>
    </w:p>
    <w:p w14:paraId="5E1411F2">
      <w:pPr>
        <w:pStyle w:val="24"/>
        <w:jc w:val="right"/>
        <w:rPr>
          <w:rFonts w:hint="eastAsia" w:hAnsi="宋体" w:cs="宋体"/>
          <w:szCs w:val="21"/>
        </w:rPr>
      </w:pPr>
      <w:r>
        <w:rPr>
          <w:position w:val="-30"/>
        </w:rPr>
        <w:object>
          <v:shape id="_x0000_i1031" o:spt="75" type="#_x0000_t75" style="height:36pt;width:112.1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18">
            <o:LockedField>false</o:LockedField>
          </o:OLEObject>
        </w:object>
      </w:r>
      <w:r>
        <w:rPr>
          <w:rFonts w:hAnsi="宋体"/>
          <w:color w:val="000000"/>
          <w:szCs w:val="22"/>
        </w:rPr>
        <w:t>………………………………………</w:t>
      </w:r>
      <w:r>
        <w:rPr>
          <w:color w:val="000000"/>
          <w:szCs w:val="22"/>
        </w:rPr>
        <w:t>（</w:t>
      </w:r>
      <w:r>
        <w:rPr>
          <w:rFonts w:hint="eastAsia"/>
          <w:color w:val="000000"/>
          <w:szCs w:val="22"/>
          <w:lang w:val="en-US" w:eastAsia="zh-CN"/>
        </w:rPr>
        <w:t>7</w:t>
      </w:r>
      <w:r>
        <w:rPr>
          <w:color w:val="000000"/>
          <w:szCs w:val="22"/>
        </w:rPr>
        <w:t>）</w:t>
      </w:r>
    </w:p>
    <w:p w14:paraId="668BCD51">
      <w:pPr>
        <w:pStyle w:val="24"/>
        <w:spacing w:line="273" w:lineRule="auto"/>
        <w:rPr>
          <w:rFonts w:ascii="Times New Roman"/>
          <w:szCs w:val="21"/>
        </w:rPr>
      </w:pPr>
      <w:r>
        <w:rPr>
          <w:rFonts w:hint="eastAsia" w:hAnsi="宋体" w:cs="宋体"/>
          <w:szCs w:val="21"/>
        </w:rPr>
        <w:t>式中：</w:t>
      </w:r>
    </w:p>
    <w:p w14:paraId="4A903246">
      <w:pPr>
        <w:spacing w:line="273" w:lineRule="auto"/>
        <w:ind w:firstLine="420" w:firstLineChars="200"/>
        <w:rPr>
          <w:kern w:val="0"/>
          <w:szCs w:val="21"/>
        </w:rPr>
      </w:pPr>
      <w:r>
        <w:rPr>
          <w:i/>
          <w:kern w:val="0"/>
          <w:szCs w:val="21"/>
        </w:rPr>
        <w:t>ρ</w:t>
      </w:r>
      <w:r>
        <w:rPr>
          <w:rFonts w:hint="eastAsia" w:ascii="宋体" w:hAnsi="宋体" w:cs="宋体"/>
          <w:kern w:val="0"/>
          <w:szCs w:val="21"/>
        </w:rPr>
        <w:t>——</w:t>
      </w:r>
      <w:r>
        <w:rPr>
          <w:rFonts w:hint="eastAsia" w:ascii="宋体" w:hAnsi="宋体" w:cs="宋体"/>
          <w:szCs w:val="21"/>
        </w:rPr>
        <w:t>由校准曲线查得或回归方程计算出的砷的质量浓度的数值，</w:t>
      </w:r>
      <w:r>
        <w:rPr>
          <w:rFonts w:hint="eastAsia" w:ascii="宋体" w:hAnsi="宋体" w:cs="宋体"/>
          <w:kern w:val="0"/>
          <w:szCs w:val="21"/>
        </w:rPr>
        <w:t>单位为微克每升（</w:t>
      </w:r>
      <w:r>
        <w:rPr>
          <w:i/>
          <w:kern w:val="0"/>
          <w:szCs w:val="21"/>
        </w:rPr>
        <w:t>μ</w:t>
      </w:r>
      <w:r>
        <w:rPr>
          <w:kern w:val="0"/>
          <w:szCs w:val="21"/>
        </w:rPr>
        <w:t>g/L</w:t>
      </w:r>
      <w:r>
        <w:rPr>
          <w:rFonts w:hint="eastAsia" w:ascii="宋体" w:hAnsi="宋体" w:cs="宋体"/>
          <w:kern w:val="0"/>
          <w:szCs w:val="21"/>
        </w:rPr>
        <w:t>）；</w:t>
      </w:r>
    </w:p>
    <w:p w14:paraId="79E9C5BC">
      <w:pPr>
        <w:spacing w:line="273" w:lineRule="auto"/>
        <w:ind w:firstLine="420" w:firstLineChars="200"/>
        <w:rPr>
          <w:kern w:val="0"/>
          <w:szCs w:val="21"/>
        </w:rPr>
      </w:pPr>
      <w:r>
        <w:rPr>
          <w:i/>
          <w:kern w:val="0"/>
          <w:szCs w:val="21"/>
        </w:rPr>
        <w:t>V</w:t>
      </w:r>
      <w:r>
        <w:rPr>
          <w:rFonts w:hint="eastAsia" w:ascii="宋体" w:hAnsi="宋体" w:cs="宋体"/>
          <w:kern w:val="0"/>
          <w:szCs w:val="21"/>
        </w:rPr>
        <w:t>——溶液体积的数值，单位为毫升（</w:t>
      </w:r>
      <w:r>
        <w:rPr>
          <w:kern w:val="0"/>
          <w:szCs w:val="21"/>
        </w:rPr>
        <w:t>mL</w:t>
      </w:r>
      <w:r>
        <w:rPr>
          <w:rFonts w:hint="eastAsia" w:ascii="宋体" w:hAnsi="宋体" w:cs="宋体"/>
          <w:kern w:val="0"/>
          <w:szCs w:val="21"/>
        </w:rPr>
        <w:t>）（</w:t>
      </w:r>
      <w:r>
        <w:rPr>
          <w:i/>
          <w:kern w:val="0"/>
          <w:szCs w:val="21"/>
        </w:rPr>
        <w:t>V</w:t>
      </w:r>
      <w:r>
        <w:rPr>
          <w:kern w:val="0"/>
          <w:szCs w:val="21"/>
        </w:rPr>
        <w:t>=100</w:t>
      </w:r>
      <w:r>
        <w:rPr>
          <w:rFonts w:hint="eastAsia" w:ascii="宋体" w:hAnsi="宋体" w:cs="宋体"/>
          <w:kern w:val="0"/>
          <w:szCs w:val="21"/>
        </w:rPr>
        <w:t>）；</w:t>
      </w:r>
    </w:p>
    <w:p w14:paraId="4262583E">
      <w:pPr>
        <w:spacing w:line="273" w:lineRule="auto"/>
        <w:ind w:firstLine="420"/>
        <w:rPr>
          <w:kern w:val="0"/>
          <w:szCs w:val="21"/>
        </w:rPr>
      </w:pPr>
      <w:r>
        <w:rPr>
          <w:i/>
          <w:kern w:val="0"/>
          <w:szCs w:val="21"/>
        </w:rPr>
        <w:t>m</w:t>
      </w:r>
      <w:r>
        <w:rPr>
          <w:kern w:val="0"/>
          <w:szCs w:val="21"/>
          <w:vertAlign w:val="subscript"/>
        </w:rPr>
        <w:t>0</w:t>
      </w:r>
      <w:r>
        <w:rPr>
          <w:rFonts w:hint="eastAsia" w:ascii="宋体" w:hAnsi="宋体" w:cs="宋体"/>
          <w:kern w:val="0"/>
          <w:szCs w:val="21"/>
        </w:rPr>
        <w:t>——样品的质量的数值，单位为克（</w:t>
      </w:r>
      <w:r>
        <w:rPr>
          <w:kern w:val="0"/>
          <w:szCs w:val="21"/>
        </w:rPr>
        <w:t>g</w:t>
      </w:r>
      <w:r>
        <w:rPr>
          <w:rFonts w:hint="eastAsia" w:ascii="宋体" w:hAnsi="宋体" w:cs="宋体"/>
          <w:kern w:val="0"/>
          <w:szCs w:val="21"/>
        </w:rPr>
        <w:t>）。</w:t>
      </w:r>
    </w:p>
    <w:p w14:paraId="363BB9AB">
      <w:pPr>
        <w:spacing w:line="273" w:lineRule="auto"/>
        <w:ind w:firstLine="420"/>
        <w:rPr>
          <w:kern w:val="0"/>
          <w:szCs w:val="21"/>
        </w:rPr>
      </w:pPr>
      <w:r>
        <w:rPr>
          <w:rFonts w:hint="eastAsia" w:ascii="宋体" w:hAnsi="宋体" w:cs="宋体"/>
          <w:kern w:val="0"/>
          <w:szCs w:val="21"/>
        </w:rPr>
        <w:t>取平行测定结果的算术平均值为测定结果，两次平行测定结果的绝对差值与算术平均值之比不大于</w:t>
      </w:r>
      <w:r>
        <w:rPr>
          <w:kern w:val="0"/>
          <w:szCs w:val="21"/>
        </w:rPr>
        <w:t>10 %</w:t>
      </w:r>
      <w:r>
        <w:rPr>
          <w:rFonts w:hint="eastAsia" w:ascii="宋体" w:hAnsi="宋体" w:cs="宋体"/>
          <w:kern w:val="0"/>
          <w:szCs w:val="21"/>
        </w:rPr>
        <w:t>。</w:t>
      </w:r>
    </w:p>
    <w:p w14:paraId="491D0B34">
      <w:pPr>
        <w:pStyle w:val="48"/>
        <w:spacing w:before="156" w:after="156"/>
      </w:pPr>
      <w:r>
        <w:rPr>
          <w:rFonts w:hint="eastAsia"/>
        </w:rPr>
        <w:t>砷斑法</w:t>
      </w:r>
    </w:p>
    <w:p w14:paraId="1BBD1EFA">
      <w:pPr>
        <w:spacing w:line="360" w:lineRule="exact"/>
        <w:ind w:firstLine="420" w:firstLineChars="200"/>
        <w:rPr>
          <w:color w:val="000000"/>
          <w:szCs w:val="18"/>
        </w:rPr>
      </w:pPr>
      <w:r>
        <w:rPr>
          <w:rFonts w:hAnsi="宋体"/>
          <w:color w:val="000000"/>
          <w:szCs w:val="18"/>
        </w:rPr>
        <w:t>称取</w:t>
      </w:r>
      <w:r>
        <w:rPr>
          <w:color w:val="000000"/>
          <w:szCs w:val="18"/>
        </w:rPr>
        <w:t>0</w:t>
      </w:r>
      <w:r>
        <w:rPr>
          <w:rFonts w:hAnsi="宋体"/>
          <w:color w:val="000000"/>
          <w:szCs w:val="18"/>
        </w:rPr>
        <w:t>.</w:t>
      </w:r>
      <w:r>
        <w:rPr>
          <w:color w:val="000000"/>
          <w:szCs w:val="18"/>
        </w:rPr>
        <w:t>10</w:t>
      </w:r>
      <w:r>
        <w:rPr>
          <w:rFonts w:hint="eastAsia"/>
          <w:color w:val="000000"/>
          <w:szCs w:val="18"/>
        </w:rPr>
        <w:t xml:space="preserve">0 </w:t>
      </w:r>
      <w:r>
        <w:rPr>
          <w:color w:val="000000"/>
          <w:szCs w:val="18"/>
        </w:rPr>
        <w:t>g</w:t>
      </w:r>
      <w:r>
        <w:rPr>
          <w:rFonts w:hint="eastAsia" w:ascii="宋体" w:hAnsi="宋体"/>
          <w:color w:val="000000"/>
          <w:szCs w:val="18"/>
        </w:rPr>
        <w:t>±</w:t>
      </w:r>
      <w:r>
        <w:rPr>
          <w:rFonts w:hint="eastAsia"/>
          <w:color w:val="000000"/>
          <w:szCs w:val="18"/>
        </w:rPr>
        <w:t>0.002</w:t>
      </w:r>
      <w:r>
        <w:rPr>
          <w:color w:val="000000"/>
          <w:szCs w:val="18"/>
        </w:rPr>
        <w:t xml:space="preserve"> g</w:t>
      </w:r>
      <w:r>
        <w:rPr>
          <w:rFonts w:hAnsi="宋体"/>
          <w:color w:val="000000"/>
          <w:szCs w:val="18"/>
        </w:rPr>
        <w:t>试样，置于</w:t>
      </w:r>
      <w:r>
        <w:rPr>
          <w:color w:val="000000"/>
          <w:szCs w:val="18"/>
        </w:rPr>
        <w:t>100</w:t>
      </w:r>
      <w:r>
        <w:rPr>
          <w:rFonts w:hint="eastAsia"/>
          <w:color w:val="000000"/>
          <w:szCs w:val="18"/>
        </w:rPr>
        <w:t xml:space="preserve"> </w:t>
      </w:r>
      <w:r>
        <w:rPr>
          <w:color w:val="000000"/>
          <w:szCs w:val="18"/>
        </w:rPr>
        <w:t>mL</w:t>
      </w:r>
      <w:r>
        <w:rPr>
          <w:rFonts w:hAnsi="宋体"/>
          <w:color w:val="000000"/>
          <w:szCs w:val="18"/>
        </w:rPr>
        <w:t>烧杯中，加</w:t>
      </w:r>
      <w:r>
        <w:rPr>
          <w:color w:val="000000"/>
          <w:szCs w:val="18"/>
        </w:rPr>
        <w:t>5</w:t>
      </w:r>
      <w:r>
        <w:rPr>
          <w:rFonts w:hint="eastAsia"/>
          <w:color w:val="000000"/>
          <w:szCs w:val="18"/>
        </w:rPr>
        <w:t xml:space="preserve"> </w:t>
      </w:r>
      <w:r>
        <w:rPr>
          <w:color w:val="000000"/>
          <w:szCs w:val="18"/>
        </w:rPr>
        <w:t>mL</w:t>
      </w:r>
      <w:r>
        <w:rPr>
          <w:rFonts w:hAnsi="宋体"/>
          <w:color w:val="000000"/>
          <w:szCs w:val="18"/>
        </w:rPr>
        <w:t>盐酸溶液</w:t>
      </w:r>
      <w:r>
        <w:rPr>
          <w:color w:val="000000"/>
          <w:szCs w:val="18"/>
        </w:rPr>
        <w:t>（1</w:t>
      </w:r>
      <w:r>
        <w:rPr>
          <w:rFonts w:hint="eastAsia" w:ascii="宋体" w:hAnsi="宋体"/>
          <w:color w:val="000000"/>
          <w:szCs w:val="18"/>
        </w:rPr>
        <w:t>＋</w:t>
      </w:r>
      <w:r>
        <w:rPr>
          <w:color w:val="000000"/>
          <w:szCs w:val="18"/>
        </w:rPr>
        <w:t>1）</w:t>
      </w:r>
      <w:r>
        <w:rPr>
          <w:rFonts w:hAnsi="宋体"/>
          <w:color w:val="000000"/>
          <w:szCs w:val="18"/>
        </w:rPr>
        <w:t>溶解，</w:t>
      </w:r>
      <w:r>
        <w:rPr>
          <w:rFonts w:hint="eastAsia" w:hAnsi="宋体"/>
          <w:color w:val="000000"/>
          <w:szCs w:val="18"/>
        </w:rPr>
        <w:t xml:space="preserve">置于100 </w:t>
      </w:r>
      <w:r>
        <w:rPr>
          <w:color w:val="000000"/>
          <w:szCs w:val="18"/>
        </w:rPr>
        <w:t>mL</w:t>
      </w:r>
      <w:r>
        <w:rPr>
          <w:rFonts w:hint="eastAsia"/>
          <w:color w:val="000000"/>
          <w:szCs w:val="18"/>
        </w:rPr>
        <w:t>容量瓶中，用水稀释至刻度，摇匀。</w:t>
      </w:r>
      <w:r>
        <w:rPr>
          <w:rFonts w:hint="eastAsia"/>
          <w:color w:val="000000"/>
          <w:kern w:val="0"/>
          <w:szCs w:val="22"/>
          <w:lang w:val="zh-CN"/>
        </w:rPr>
        <w:t>用移液管</w:t>
      </w:r>
      <w:r>
        <w:rPr>
          <w:rFonts w:hint="eastAsia"/>
          <w:color w:val="000000"/>
          <w:szCs w:val="18"/>
        </w:rPr>
        <w:t xml:space="preserve">移取10 </w:t>
      </w:r>
      <w:r>
        <w:rPr>
          <w:color w:val="000000"/>
          <w:szCs w:val="18"/>
        </w:rPr>
        <w:t>mL</w:t>
      </w:r>
      <w:r>
        <w:rPr>
          <w:rFonts w:hint="eastAsia"/>
          <w:color w:val="000000"/>
          <w:szCs w:val="18"/>
        </w:rPr>
        <w:t>试验溶液，</w:t>
      </w:r>
      <w:r>
        <w:rPr>
          <w:rFonts w:hAnsi="宋体"/>
          <w:color w:val="000000"/>
          <w:szCs w:val="18"/>
        </w:rPr>
        <w:t>加入</w:t>
      </w:r>
      <w:r>
        <w:rPr>
          <w:color w:val="000000"/>
          <w:szCs w:val="18"/>
        </w:rPr>
        <w:t>40</w:t>
      </w:r>
      <w:r>
        <w:rPr>
          <w:rFonts w:hint="eastAsia"/>
          <w:color w:val="000000"/>
          <w:szCs w:val="18"/>
        </w:rPr>
        <w:t xml:space="preserve"> </w:t>
      </w:r>
      <w:r>
        <w:rPr>
          <w:color w:val="000000"/>
          <w:szCs w:val="18"/>
        </w:rPr>
        <w:t>mL</w:t>
      </w:r>
      <w:r>
        <w:rPr>
          <w:rFonts w:hAnsi="宋体"/>
          <w:color w:val="000000"/>
          <w:szCs w:val="18"/>
        </w:rPr>
        <w:t>水，</w:t>
      </w:r>
      <w:r>
        <w:rPr>
          <w:rFonts w:hint="eastAsia" w:hAnsi="宋体"/>
          <w:color w:val="000000"/>
          <w:szCs w:val="18"/>
        </w:rPr>
        <w:t>以下</w:t>
      </w:r>
      <w:r>
        <w:rPr>
          <w:rFonts w:hAnsi="宋体"/>
          <w:color w:val="000000"/>
          <w:szCs w:val="18"/>
        </w:rPr>
        <w:t>按</w:t>
      </w:r>
      <w:r>
        <w:rPr>
          <w:rFonts w:hint="eastAsia"/>
          <w:color w:val="000000"/>
          <w:kern w:val="0"/>
          <w:szCs w:val="21"/>
          <w:lang w:val="zh-CN"/>
        </w:rPr>
        <w:t>GB/T 23947.2—2009的第8.2条</w:t>
      </w:r>
      <w:r>
        <w:rPr>
          <w:rFonts w:hAnsi="宋体"/>
          <w:color w:val="000000"/>
          <w:szCs w:val="18"/>
        </w:rPr>
        <w:t>操作</w:t>
      </w:r>
      <w:r>
        <w:rPr>
          <w:rFonts w:hint="eastAsia" w:hAnsi="宋体"/>
          <w:color w:val="000000"/>
          <w:szCs w:val="18"/>
        </w:rPr>
        <w:t>，</w:t>
      </w:r>
      <w:r>
        <w:rPr>
          <w:rFonts w:hAnsi="宋体"/>
          <w:color w:val="000000"/>
          <w:szCs w:val="18"/>
        </w:rPr>
        <w:t>试</w:t>
      </w:r>
      <w:r>
        <w:rPr>
          <w:rFonts w:hint="eastAsia" w:hAnsi="宋体"/>
          <w:color w:val="000000"/>
          <w:szCs w:val="18"/>
        </w:rPr>
        <w:t>验溶液所产生</w:t>
      </w:r>
      <w:r>
        <w:rPr>
          <w:rFonts w:hAnsi="宋体"/>
          <w:color w:val="000000"/>
          <w:szCs w:val="18"/>
        </w:rPr>
        <w:t>的砷斑颜色不</w:t>
      </w:r>
      <w:r>
        <w:rPr>
          <w:rFonts w:hint="eastAsia" w:hAnsi="宋体"/>
          <w:color w:val="000000"/>
          <w:szCs w:val="18"/>
        </w:rPr>
        <w:t>应</w:t>
      </w:r>
      <w:r>
        <w:rPr>
          <w:rFonts w:hAnsi="宋体"/>
          <w:color w:val="000000"/>
          <w:szCs w:val="18"/>
        </w:rPr>
        <w:t>深于标准比色溶液</w:t>
      </w:r>
      <w:r>
        <w:rPr>
          <w:rFonts w:hint="eastAsia" w:hAnsi="宋体"/>
          <w:color w:val="000000"/>
          <w:szCs w:val="18"/>
        </w:rPr>
        <w:t>。</w:t>
      </w:r>
    </w:p>
    <w:p w14:paraId="696E04C5">
      <w:pPr>
        <w:spacing w:line="360" w:lineRule="exact"/>
        <w:ind w:firstLine="420" w:firstLineChars="200"/>
        <w:rPr>
          <w:rFonts w:hAnsi="宋体"/>
          <w:color w:val="000000"/>
          <w:szCs w:val="18"/>
        </w:rPr>
      </w:pPr>
      <w:r>
        <w:rPr>
          <w:rFonts w:hAnsi="宋体"/>
          <w:color w:val="000000"/>
          <w:szCs w:val="18"/>
        </w:rPr>
        <w:t>标准比色溶液是用移液管移取</w:t>
      </w:r>
      <w:r>
        <w:rPr>
          <w:rFonts w:hint="default" w:hAnsi="宋体"/>
          <w:color w:val="000000"/>
          <w:szCs w:val="18"/>
        </w:rPr>
        <w:t xml:space="preserve">1 </w:t>
      </w:r>
      <w:r>
        <w:rPr>
          <w:rFonts w:hAnsi="宋体"/>
          <w:color w:val="000000"/>
          <w:szCs w:val="18"/>
        </w:rPr>
        <w:t>mL砷标准溶液</w:t>
      </w:r>
      <w:r>
        <w:rPr>
          <w:rFonts w:hint="default" w:hAnsi="宋体"/>
          <w:color w:val="000000"/>
          <w:szCs w:val="18"/>
        </w:rPr>
        <w:t>[</w:t>
      </w:r>
      <w:r>
        <w:rPr>
          <w:rFonts w:hAnsi="宋体"/>
          <w:color w:val="000000"/>
          <w:szCs w:val="18"/>
        </w:rPr>
        <w:t>1</w:t>
      </w:r>
      <w:r>
        <w:rPr>
          <w:rFonts w:hint="default" w:hAnsi="宋体"/>
          <w:color w:val="000000"/>
          <w:szCs w:val="18"/>
        </w:rPr>
        <w:t xml:space="preserve"> </w:t>
      </w:r>
      <w:r>
        <w:rPr>
          <w:rFonts w:hAnsi="宋体"/>
          <w:color w:val="000000"/>
          <w:szCs w:val="18"/>
        </w:rPr>
        <w:t>mL溶液含</w:t>
      </w:r>
      <w:r>
        <w:rPr>
          <w:rFonts w:hint="eastAsia" w:hAnsi="宋体"/>
          <w:color w:val="000000"/>
          <w:szCs w:val="18"/>
        </w:rPr>
        <w:t>砷（</w:t>
      </w:r>
      <w:r>
        <w:rPr>
          <w:rFonts w:hAnsi="宋体"/>
          <w:color w:val="000000"/>
          <w:szCs w:val="18"/>
        </w:rPr>
        <w:t>As</w:t>
      </w:r>
      <w:r>
        <w:rPr>
          <w:rFonts w:hint="eastAsia" w:hAnsi="宋体"/>
          <w:color w:val="000000"/>
          <w:szCs w:val="18"/>
        </w:rPr>
        <w:t>）</w:t>
      </w:r>
      <w:r>
        <w:rPr>
          <w:rFonts w:hint="default" w:hAnsi="宋体"/>
          <w:color w:val="000000"/>
          <w:kern w:val="2"/>
          <w:szCs w:val="18"/>
          <w:lang w:val="zh-CN"/>
        </w:rPr>
        <w:t>0.00</w:t>
      </w:r>
      <w:r>
        <w:rPr>
          <w:rFonts w:hAnsi="宋体"/>
          <w:color w:val="000000"/>
          <w:kern w:val="2"/>
          <w:szCs w:val="18"/>
          <w:lang w:val="zh-CN"/>
        </w:rPr>
        <w:t>1</w:t>
      </w:r>
      <w:r>
        <w:rPr>
          <w:rFonts w:hint="default" w:hAnsi="宋体"/>
          <w:color w:val="000000"/>
          <w:kern w:val="2"/>
          <w:szCs w:val="18"/>
          <w:lang w:val="zh-CN"/>
        </w:rPr>
        <w:t xml:space="preserve"> m</w:t>
      </w:r>
      <w:r>
        <w:rPr>
          <w:rFonts w:hAnsi="宋体"/>
          <w:color w:val="000000"/>
          <w:kern w:val="2"/>
          <w:szCs w:val="18"/>
          <w:lang w:val="zh-CN"/>
        </w:rPr>
        <w:t>g</w:t>
      </w:r>
      <w:r>
        <w:rPr>
          <w:rFonts w:hint="default" w:hAnsi="宋体"/>
          <w:color w:val="000000"/>
          <w:szCs w:val="18"/>
        </w:rPr>
        <w:t>]</w:t>
      </w:r>
      <w:r>
        <w:rPr>
          <w:rFonts w:hAnsi="宋体"/>
          <w:color w:val="000000"/>
          <w:szCs w:val="18"/>
        </w:rPr>
        <w:t>与试</w:t>
      </w:r>
      <w:r>
        <w:rPr>
          <w:rFonts w:hint="eastAsia" w:hAnsi="宋体"/>
          <w:color w:val="000000"/>
          <w:szCs w:val="18"/>
        </w:rPr>
        <w:t>验溶液</w:t>
      </w:r>
      <w:r>
        <w:rPr>
          <w:rFonts w:hAnsi="宋体"/>
          <w:color w:val="000000"/>
          <w:szCs w:val="18"/>
        </w:rPr>
        <w:t>同时同样处理</w:t>
      </w:r>
      <w:r>
        <w:rPr>
          <w:rFonts w:hint="eastAsia" w:hAnsi="宋体"/>
          <w:color w:val="000000"/>
          <w:szCs w:val="18"/>
        </w:rPr>
        <w:t>。</w:t>
      </w:r>
    </w:p>
    <w:p w14:paraId="7FC3C1DF">
      <w:pPr>
        <w:pStyle w:val="44"/>
        <w:spacing w:before="156" w:after="156" w:line="360" w:lineRule="exact"/>
      </w:pPr>
      <w:r>
        <w:t>重金属含量的测定</w:t>
      </w:r>
    </w:p>
    <w:p w14:paraId="051D08E8">
      <w:pPr>
        <w:pStyle w:val="48"/>
        <w:spacing w:before="156" w:after="156"/>
      </w:pPr>
      <w:r>
        <w:rPr>
          <w:rFonts w:hint="eastAsia"/>
          <w:lang w:eastAsia="zh-CN"/>
        </w:rPr>
        <w:t>原理</w:t>
      </w:r>
    </w:p>
    <w:p w14:paraId="77B7AE13">
      <w:pPr>
        <w:spacing w:line="360" w:lineRule="exact"/>
        <w:ind w:firstLine="420" w:firstLineChars="200"/>
        <w:rPr>
          <w:rFonts w:ascii="黑体" w:eastAsia="黑体"/>
          <w:color w:val="000000"/>
        </w:rPr>
      </w:pPr>
      <w:r>
        <w:rPr>
          <w:rFonts w:hint="eastAsia" w:ascii="宋体" w:hAnsi="宋体"/>
          <w:color w:val="000000"/>
        </w:rPr>
        <w:t>重金属离子与硫离子在弱酸介质（</w:t>
      </w:r>
      <w:r>
        <w:rPr>
          <w:rFonts w:hint="eastAsia"/>
          <w:color w:val="000000"/>
        </w:rPr>
        <w:t>pH</w:t>
      </w:r>
      <w:r>
        <w:rPr>
          <w:rFonts w:hint="eastAsia" w:ascii="宋体" w:hAnsi="宋体"/>
          <w:color w:val="000000"/>
        </w:rPr>
        <w:t>≈</w:t>
      </w:r>
      <w:r>
        <w:rPr>
          <w:rFonts w:hint="eastAsia"/>
          <w:color w:val="000000"/>
        </w:rPr>
        <w:t>3</w:t>
      </w:r>
      <w:r>
        <w:rPr>
          <w:color w:val="000000"/>
        </w:rPr>
        <w:t>~</w:t>
      </w:r>
      <w:r>
        <w:rPr>
          <w:rFonts w:hint="eastAsia"/>
          <w:color w:val="000000"/>
        </w:rPr>
        <w:t>4</w:t>
      </w:r>
      <w:r>
        <w:rPr>
          <w:rFonts w:hint="eastAsia" w:ascii="宋体" w:hAnsi="宋体"/>
          <w:color w:val="000000"/>
        </w:rPr>
        <w:t>）中生成有色硫化物沉淀。重金属元素含量较低时，形成稳定的棕褐色悬浮液，用目视比色法测定。</w:t>
      </w:r>
    </w:p>
    <w:p w14:paraId="4B2B74B6">
      <w:pPr>
        <w:pStyle w:val="48"/>
        <w:spacing w:before="156" w:after="156"/>
      </w:pPr>
      <w:r>
        <w:rPr>
          <w:rFonts w:hint="eastAsia"/>
        </w:rPr>
        <w:t>试剂或材料</w:t>
      </w:r>
    </w:p>
    <w:p w14:paraId="05A8B68E">
      <w:pPr>
        <w:pStyle w:val="120"/>
        <w:rPr>
          <w:rFonts w:ascii="Times New Roman" w:eastAsia="宋体"/>
          <w:lang w:val="zh-CN"/>
        </w:rPr>
      </w:pPr>
      <w:r>
        <w:rPr>
          <w:rFonts w:ascii="Times New Roman" w:eastAsia="宋体"/>
          <w:lang w:val="zh-CN"/>
        </w:rPr>
        <w:t>盐酸溶液：1＋1。</w:t>
      </w:r>
    </w:p>
    <w:p w14:paraId="37EFC1B4">
      <w:pPr>
        <w:pStyle w:val="120"/>
        <w:rPr>
          <w:rFonts w:ascii="Times New Roman" w:eastAsia="宋体"/>
          <w:lang w:val="zh-CN"/>
        </w:rPr>
      </w:pPr>
      <w:r>
        <w:rPr>
          <w:rFonts w:ascii="Times New Roman" w:eastAsia="宋体"/>
          <w:lang w:val="zh-CN"/>
        </w:rPr>
        <w:t>氨水溶液：2＋3。</w:t>
      </w:r>
    </w:p>
    <w:p w14:paraId="23CA9EC8">
      <w:pPr>
        <w:pStyle w:val="120"/>
        <w:rPr>
          <w:rFonts w:ascii="Times New Roman" w:eastAsia="宋体"/>
          <w:lang w:val="zh-CN"/>
        </w:rPr>
      </w:pPr>
      <w:r>
        <w:rPr>
          <w:rFonts w:ascii="Times New Roman" w:eastAsia="宋体"/>
          <w:lang w:val="zh-CN"/>
        </w:rPr>
        <w:t>冰乙酸溶液：1＋2。</w:t>
      </w:r>
    </w:p>
    <w:p w14:paraId="47B8146E">
      <w:pPr>
        <w:pStyle w:val="120"/>
        <w:rPr>
          <w:rFonts w:ascii="Times New Roman" w:eastAsia="宋体"/>
          <w:lang w:val="zh-CN"/>
        </w:rPr>
      </w:pPr>
      <w:r>
        <w:rPr>
          <w:rFonts w:ascii="Times New Roman" w:eastAsia="宋体"/>
          <w:lang w:val="zh-CN"/>
        </w:rPr>
        <w:t>饱和硫化氢</w:t>
      </w:r>
      <w:r>
        <w:rPr>
          <w:rFonts w:hint="default" w:ascii="Times New Roman" w:eastAsia="宋体"/>
          <w:lang w:val="zh-CN"/>
        </w:rPr>
        <w:t>。</w:t>
      </w:r>
    </w:p>
    <w:p w14:paraId="3942CF7C">
      <w:pPr>
        <w:pStyle w:val="120"/>
        <w:rPr>
          <w:rFonts w:ascii="Times New Roman" w:eastAsia="宋体"/>
          <w:lang w:val="zh-CN"/>
        </w:rPr>
      </w:pPr>
      <w:r>
        <w:rPr>
          <w:rFonts w:ascii="Times New Roman" w:eastAsia="宋体"/>
          <w:lang w:val="zh-CN"/>
        </w:rPr>
        <w:t>铅标准溶液：l mL溶液含铅（Pb）0.010 mg</w:t>
      </w:r>
      <w:r>
        <w:rPr>
          <w:rFonts w:hint="default" w:ascii="Times New Roman" w:eastAsia="宋体"/>
          <w:lang w:val="zh-CN"/>
        </w:rPr>
        <w:t>。</w:t>
      </w:r>
      <w:r>
        <w:rPr>
          <w:rFonts w:ascii="Times New Roman" w:eastAsia="宋体"/>
          <w:lang w:val="zh-CN"/>
        </w:rPr>
        <w:t>用移液管移取1 mL按HG/T 3696.2配制的铅标准溶液，置于100 mL容量瓶中，用水稀释至刻度，摇匀。该溶液现用现配。</w:t>
      </w:r>
    </w:p>
    <w:p w14:paraId="6D44B678">
      <w:pPr>
        <w:pStyle w:val="120"/>
        <w:rPr>
          <w:rFonts w:ascii="Times New Roman" w:eastAsia="宋体"/>
          <w:lang w:val="zh-CN"/>
        </w:rPr>
      </w:pPr>
      <w:r>
        <w:rPr>
          <w:rFonts w:ascii="Times New Roman" w:eastAsia="宋体"/>
          <w:lang w:val="zh-CN"/>
        </w:rPr>
        <w:t>酚酞指示液：10 g/L。</w:t>
      </w:r>
    </w:p>
    <w:p w14:paraId="7B9D6348">
      <w:pPr>
        <w:pStyle w:val="48"/>
        <w:spacing w:before="156" w:after="156"/>
      </w:pPr>
      <w:r>
        <w:rPr>
          <w:rFonts w:hint="eastAsia"/>
        </w:rPr>
        <w:t>试验步骤</w:t>
      </w:r>
    </w:p>
    <w:p w14:paraId="62A4C8B7">
      <w:pPr>
        <w:pStyle w:val="53"/>
        <w:spacing w:before="156" w:after="156"/>
      </w:pPr>
      <w:r>
        <w:rPr>
          <w:rFonts w:hint="eastAsia"/>
        </w:rPr>
        <w:t>试验溶液的制备</w:t>
      </w:r>
    </w:p>
    <w:p w14:paraId="3F0E33ED">
      <w:pPr>
        <w:pStyle w:val="24"/>
        <w:spacing w:line="360" w:lineRule="exact"/>
        <w:rPr>
          <w:rFonts w:hint="default" w:ascii="Times New Roman" w:hAnsi="Times New Roman" w:cs="Times New Roman"/>
          <w:color w:val="000000"/>
          <w:szCs w:val="18"/>
        </w:rPr>
      </w:pPr>
      <w:r>
        <w:rPr>
          <w:rFonts w:hint="default" w:ascii="Times New Roman" w:hAnsi="Times New Roman" w:cs="Times New Roman"/>
          <w:color w:val="000000"/>
          <w:szCs w:val="18"/>
        </w:rPr>
        <w:t>称取2.00 g</w:t>
      </w:r>
      <w:r>
        <w:rPr>
          <w:rFonts w:hint="eastAsia" w:asciiTheme="minorEastAsia" w:hAnsiTheme="minorEastAsia" w:eastAsiaTheme="minorEastAsia" w:cstheme="minorEastAsia"/>
          <w:color w:val="000000"/>
          <w:szCs w:val="18"/>
        </w:rPr>
        <w:t>±</w:t>
      </w:r>
      <w:r>
        <w:rPr>
          <w:rFonts w:hint="default" w:ascii="Times New Roman" w:hAnsi="Times New Roman" w:cs="Times New Roman"/>
          <w:color w:val="000000"/>
          <w:szCs w:val="18"/>
        </w:rPr>
        <w:t>0.01 g试样，置于100 mL烧杯中，加20 mL水和5 mL盐酸溶液溶解试样，加1滴酚酞指示液，用氨水溶液调节至溶液呈浅红色，再用盐酸溶液调节至无色，转移至100 mL容量瓶中，用水稀释至刻度，摇匀。</w:t>
      </w:r>
    </w:p>
    <w:p w14:paraId="1615982C">
      <w:pPr>
        <w:pStyle w:val="53"/>
        <w:spacing w:before="156" w:after="156"/>
      </w:pPr>
      <w:r>
        <w:rPr>
          <w:rFonts w:hint="eastAsia"/>
        </w:rPr>
        <w:t>试验</w:t>
      </w:r>
    </w:p>
    <w:p w14:paraId="0DFB4E4F">
      <w:pPr>
        <w:pStyle w:val="24"/>
        <w:spacing w:line="360" w:lineRule="exact"/>
        <w:rPr>
          <w:rFonts w:hint="default" w:ascii="Times New Roman" w:hAnsi="Times New Roman" w:cs="Times New Roman"/>
          <w:color w:val="000000"/>
          <w:szCs w:val="18"/>
        </w:rPr>
      </w:pPr>
      <w:r>
        <w:rPr>
          <w:rFonts w:hint="default" w:ascii="Times New Roman" w:hAnsi="Times New Roman" w:cs="Times New Roman"/>
          <w:color w:val="000000"/>
          <w:szCs w:val="18"/>
        </w:rPr>
        <w:t>用移液管移取20 mL试验溶液，置于50 mL比色管中，加入0.5 mL冰乙酸溶液，加水至约30 mL，加入10 mL饱和硫化氢水，用水稀释至刻度，摇匀。于暗处放置10 min，试验溶液产生的棕褐色不应深于标准比色溶液。</w:t>
      </w:r>
    </w:p>
    <w:p w14:paraId="61B7E179">
      <w:pPr>
        <w:pStyle w:val="24"/>
        <w:spacing w:line="360" w:lineRule="exact"/>
        <w:rPr>
          <w:rFonts w:hint="default" w:ascii="Times New Roman" w:hAnsi="Times New Roman" w:cs="Times New Roman"/>
          <w:color w:val="000000"/>
          <w:szCs w:val="18"/>
        </w:rPr>
      </w:pPr>
      <w:r>
        <w:rPr>
          <w:rFonts w:hint="default" w:ascii="Times New Roman" w:hAnsi="Times New Roman" w:cs="Times New Roman"/>
          <w:color w:val="000000"/>
          <w:szCs w:val="18"/>
        </w:rPr>
        <w:t>标准比色溶液是用移液管移取2 mL铅标准溶液，与试验溶液同时同样处理。</w:t>
      </w:r>
    </w:p>
    <w:p w14:paraId="4349E29E">
      <w:pPr>
        <w:pStyle w:val="44"/>
        <w:spacing w:before="156" w:after="156" w:line="360" w:lineRule="exact"/>
      </w:pPr>
      <w:r>
        <w:t>pH</w:t>
      </w:r>
      <w:r>
        <w:rPr>
          <w:rFonts w:hint="eastAsia"/>
        </w:rPr>
        <w:t>的测定</w:t>
      </w:r>
    </w:p>
    <w:p w14:paraId="6E76478B">
      <w:pPr>
        <w:pStyle w:val="24"/>
        <w:spacing w:line="360" w:lineRule="exact"/>
        <w:rPr>
          <w:rFonts w:hint="eastAsia"/>
          <w:color w:val="000000"/>
          <w:kern w:val="0"/>
          <w:szCs w:val="22"/>
          <w:lang w:val="zh-CN"/>
        </w:rPr>
      </w:pPr>
      <w:r>
        <w:rPr>
          <w:rFonts w:hAnsi="宋体"/>
          <w:color w:val="000000"/>
          <w:szCs w:val="18"/>
        </w:rPr>
        <w:t>称取</w:t>
      </w:r>
      <w:r>
        <w:rPr>
          <w:rFonts w:ascii="Times New Roman"/>
          <w:color w:val="000000"/>
          <w:szCs w:val="18"/>
        </w:rPr>
        <w:t>1.0</w:t>
      </w:r>
      <w:r>
        <w:rPr>
          <w:rFonts w:hint="eastAsia" w:ascii="Times New Roman"/>
          <w:color w:val="000000"/>
          <w:szCs w:val="18"/>
        </w:rPr>
        <w:t>0</w:t>
      </w:r>
      <w:r>
        <w:rPr>
          <w:rFonts w:ascii="Times New Roman"/>
          <w:color w:val="000000"/>
          <w:szCs w:val="18"/>
        </w:rPr>
        <w:t xml:space="preserve"> g</w:t>
      </w:r>
      <w:r>
        <w:rPr>
          <w:rFonts w:hAnsi="宋体"/>
          <w:color w:val="000000"/>
          <w:szCs w:val="18"/>
        </w:rPr>
        <w:t>±</w:t>
      </w:r>
      <w:r>
        <w:rPr>
          <w:rFonts w:ascii="Times New Roman"/>
          <w:color w:val="000000"/>
          <w:szCs w:val="18"/>
        </w:rPr>
        <w:t>0.01 g</w:t>
      </w:r>
      <w:r>
        <w:rPr>
          <w:rFonts w:hAnsi="宋体"/>
          <w:color w:val="000000"/>
          <w:szCs w:val="18"/>
        </w:rPr>
        <w:t>试样</w:t>
      </w:r>
      <w:r>
        <w:rPr>
          <w:rFonts w:hint="eastAsia"/>
          <w:color w:val="000000"/>
          <w:szCs w:val="18"/>
        </w:rPr>
        <w:t>，</w:t>
      </w:r>
      <w:r>
        <w:rPr>
          <w:rFonts w:hAnsi="宋体"/>
          <w:color w:val="000000"/>
          <w:szCs w:val="18"/>
        </w:rPr>
        <w:t>置于</w:t>
      </w:r>
      <w:r>
        <w:rPr>
          <w:rFonts w:ascii="Times New Roman"/>
          <w:color w:val="000000"/>
          <w:szCs w:val="18"/>
        </w:rPr>
        <w:t>150 mL</w:t>
      </w:r>
      <w:r>
        <w:rPr>
          <w:rFonts w:hAnsi="宋体"/>
          <w:color w:val="000000"/>
          <w:szCs w:val="18"/>
        </w:rPr>
        <w:t>烧杯中，加</w:t>
      </w:r>
      <w:r>
        <w:rPr>
          <w:rFonts w:ascii="Times New Roman"/>
          <w:color w:val="000000"/>
          <w:szCs w:val="18"/>
        </w:rPr>
        <w:t>100 mL</w:t>
      </w:r>
      <w:r>
        <w:rPr>
          <w:rFonts w:hint="eastAsia" w:ascii="Times New Roman"/>
          <w:color w:val="000000"/>
          <w:szCs w:val="18"/>
        </w:rPr>
        <w:t>无二氧化碳的</w:t>
      </w:r>
      <w:r>
        <w:rPr>
          <w:rFonts w:hAnsi="宋体"/>
          <w:color w:val="000000"/>
          <w:szCs w:val="18"/>
        </w:rPr>
        <w:t>水</w:t>
      </w:r>
      <w:r>
        <w:rPr>
          <w:rFonts w:hint="eastAsia" w:hAnsi="宋体"/>
          <w:color w:val="000000"/>
          <w:szCs w:val="18"/>
        </w:rPr>
        <w:t>，搅拌至试样溶解。用已校正过的酸度计进行测定。</w:t>
      </w:r>
    </w:p>
    <w:p w14:paraId="71CE6F35">
      <w:pPr>
        <w:pStyle w:val="24"/>
        <w:spacing w:line="360" w:lineRule="exact"/>
        <w:rPr>
          <w:rFonts w:hint="eastAsia"/>
          <w:color w:val="000000"/>
          <w:kern w:val="0"/>
          <w:szCs w:val="22"/>
          <w:lang w:val="zh-CN"/>
        </w:rPr>
      </w:pPr>
      <w:r>
        <w:rPr>
          <w:rFonts w:hint="eastAsia"/>
          <w:color w:val="000000"/>
          <w:kern w:val="0"/>
          <w:szCs w:val="22"/>
          <w:lang w:val="zh-CN"/>
        </w:rPr>
        <w:t>取平行测定结果的算术平均值为测定结果，两次平行测定结果的绝对差值不大于</w:t>
      </w:r>
      <w:r>
        <w:rPr>
          <w:color w:val="000000"/>
          <w:kern w:val="0"/>
          <w:szCs w:val="22"/>
          <w:lang w:val="zh-CN"/>
        </w:rPr>
        <w:t>0</w:t>
      </w:r>
      <w:r>
        <w:rPr>
          <w:rFonts w:hint="eastAsia"/>
          <w:color w:val="000000"/>
          <w:kern w:val="0"/>
          <w:szCs w:val="22"/>
          <w:lang w:val="zh-CN"/>
        </w:rPr>
        <w:t>.2。</w:t>
      </w:r>
    </w:p>
    <w:p w14:paraId="47095778">
      <w:pPr>
        <w:pStyle w:val="47"/>
        <w:spacing w:before="312" w:after="312"/>
        <w:rPr>
          <w:snapToGrid w:val="0"/>
        </w:rPr>
      </w:pPr>
      <w:r>
        <w:rPr>
          <w:rFonts w:hint="eastAsia"/>
          <w:snapToGrid w:val="0"/>
        </w:rPr>
        <w:t>检验规则</w:t>
      </w:r>
    </w:p>
    <w:p w14:paraId="34110EA3">
      <w:pPr>
        <w:pStyle w:val="127"/>
        <w:spacing w:line="360" w:lineRule="exact"/>
      </w:pPr>
      <w:r>
        <w:rPr>
          <w:rFonts w:hint="eastAsia"/>
        </w:rPr>
        <w:t>本文件要求中规定的所有指标项目为出厂检验项目，应逐批检验。</w:t>
      </w:r>
    </w:p>
    <w:p w14:paraId="65719F4B">
      <w:pPr>
        <w:pStyle w:val="127"/>
        <w:spacing w:line="360" w:lineRule="exact"/>
      </w:pPr>
      <w:r>
        <w:rPr>
          <w:rFonts w:hint="eastAsia"/>
        </w:rPr>
        <w:t>生产企业用相同材料，在基本相同的生产条件，连续生产或同一班组生产的同一</w:t>
      </w:r>
      <w:r>
        <w:rPr>
          <w:rFonts w:hint="eastAsia"/>
          <w:lang w:val="en-US" w:eastAsia="zh-CN"/>
        </w:rPr>
        <w:t>类型</w:t>
      </w:r>
      <w:r>
        <w:rPr>
          <w:rFonts w:hint="eastAsia"/>
        </w:rPr>
        <w:t>的工业磷酸氢二钾为一批。每批产品不超过60 t。</w:t>
      </w:r>
    </w:p>
    <w:p w14:paraId="1F8641D7">
      <w:pPr>
        <w:pStyle w:val="127"/>
        <w:spacing w:line="360" w:lineRule="exact"/>
      </w:pPr>
      <w:r>
        <w:rPr>
          <w:rFonts w:hint="eastAsia"/>
        </w:rPr>
        <w:t>按GB/T 6678的规定确定采样单元数。采样时，将采样器自包装袋的上方插入至料层深度的四分之三处采样。将所采样品摇匀，用四分法缩分至约500 g，立即分装入两个干燥、清洁的广口瓶（或塑料袋）中，密封，瓶（袋）上粘贴标签，注明：生产厂名、产品名称、批号和采样日期、采样者姓名。一瓶（袋）用于检验，另一瓶（袋）保存备查，保存时间由生产厂根据实际情况确定。</w:t>
      </w:r>
    </w:p>
    <w:p w14:paraId="2A6B05DC">
      <w:pPr>
        <w:pStyle w:val="127"/>
        <w:spacing w:line="360" w:lineRule="exact"/>
      </w:pPr>
      <w:r>
        <w:rPr>
          <w:rFonts w:hint="eastAsia"/>
        </w:rPr>
        <w:t>检验结果中如有指标不符合本文件要求时，应重新自两倍量的包装袋中采样进行复验，复验结果即使有一项指标不符合本文件要求时，则整批产品为不合格。</w:t>
      </w:r>
    </w:p>
    <w:p w14:paraId="79241AAA">
      <w:pPr>
        <w:pStyle w:val="127"/>
        <w:spacing w:line="360" w:lineRule="exact"/>
      </w:pPr>
      <w:r>
        <w:rPr>
          <w:rFonts w:hint="eastAsia"/>
        </w:rPr>
        <w:t>采用GB/T 8170规定的修约值比较法判定检验结果是否符合标准。</w:t>
      </w:r>
    </w:p>
    <w:p w14:paraId="34B25830">
      <w:pPr>
        <w:pStyle w:val="47"/>
        <w:spacing w:before="312" w:after="312"/>
        <w:rPr>
          <w:snapToGrid w:val="0"/>
        </w:rPr>
      </w:pPr>
      <w:r>
        <w:rPr>
          <w:rFonts w:hint="eastAsia"/>
          <w:snapToGrid w:val="0"/>
        </w:rPr>
        <w:t>标志、标签</w:t>
      </w:r>
    </w:p>
    <w:p w14:paraId="282D3989">
      <w:pPr>
        <w:pStyle w:val="127"/>
        <w:spacing w:line="360" w:lineRule="exact"/>
      </w:pPr>
      <w:r>
        <w:rPr>
          <w:rFonts w:hint="eastAsia"/>
        </w:rPr>
        <w:t>工业磷酸氢二钾包装袋上要有牢固清晰的标志，内容包括：生产厂名、厂址、产品名称、</w:t>
      </w:r>
      <w:r>
        <w:rPr>
          <w:rFonts w:hint="eastAsia"/>
          <w:lang w:val="en-US" w:eastAsia="zh-CN"/>
        </w:rPr>
        <w:t>类型、</w:t>
      </w:r>
      <w:r>
        <w:rPr>
          <w:rFonts w:hint="eastAsia"/>
        </w:rPr>
        <w:t>净含量、批号或生产日期、本文件编号以及GB/T l9l—2008所规定的“怕晒”和“怕雨”标志。</w:t>
      </w:r>
    </w:p>
    <w:p w14:paraId="070762BA">
      <w:pPr>
        <w:pStyle w:val="127"/>
        <w:spacing w:line="360" w:lineRule="exact"/>
      </w:pPr>
      <w:r>
        <w:rPr>
          <w:rFonts w:hint="eastAsia"/>
        </w:rPr>
        <w:t>每批出厂的工业磷酸氢二钾都应附有质量证明书，内容包括：生产厂名、厂址、产品名称、</w:t>
      </w:r>
      <w:r>
        <w:rPr>
          <w:rFonts w:hint="eastAsia"/>
          <w:lang w:val="en-US" w:eastAsia="zh-CN"/>
        </w:rPr>
        <w:t>类型、</w:t>
      </w:r>
      <w:r>
        <w:rPr>
          <w:rFonts w:hint="eastAsia"/>
        </w:rPr>
        <w:t>净含量、批号或生产日期、产品质量符合本文件的证明和本文件编号。</w:t>
      </w:r>
    </w:p>
    <w:p w14:paraId="4E391972">
      <w:pPr>
        <w:pStyle w:val="47"/>
        <w:spacing w:before="312" w:after="312"/>
        <w:rPr>
          <w:snapToGrid w:val="0"/>
        </w:rPr>
      </w:pPr>
      <w:r>
        <w:rPr>
          <w:rFonts w:hint="eastAsia"/>
          <w:snapToGrid w:val="0"/>
        </w:rPr>
        <w:t>包装、运输、贮存</w:t>
      </w:r>
    </w:p>
    <w:p w14:paraId="77AFE8CA">
      <w:pPr>
        <w:pStyle w:val="127"/>
        <w:spacing w:line="360" w:lineRule="exact"/>
      </w:pPr>
      <w:r>
        <w:rPr>
          <w:rFonts w:hint="eastAsia"/>
        </w:rPr>
        <w:t>工业磷酸氢二钾采用双层包装，内包装为聚乙烯塑料袋，外包装为塑料编织袋。每袋净含量25 kg或50 kg。如需特殊包装，供需双方协商。</w:t>
      </w:r>
    </w:p>
    <w:p w14:paraId="61A8C05D">
      <w:pPr>
        <w:pStyle w:val="127"/>
        <w:spacing w:line="360" w:lineRule="exact"/>
      </w:pPr>
      <w:r>
        <w:rPr>
          <w:rFonts w:hint="eastAsia"/>
        </w:rPr>
        <w:t>工业磷酸氢二钾的包装，内袋用维尼龙绳或其它质量相当的绳两层分别扎紧，或用与其相当的其它方式封口；外袋用维尼龙绳线或其它质量相当的线缝口。</w:t>
      </w:r>
    </w:p>
    <w:p w14:paraId="0395204A">
      <w:pPr>
        <w:pStyle w:val="127"/>
        <w:spacing w:line="360" w:lineRule="exact"/>
      </w:pPr>
      <w:r>
        <w:rPr>
          <w:rFonts w:hint="eastAsia"/>
        </w:rPr>
        <w:t>工业磷酸氢二钾在运输过程中应有遮盖物，防止雨淋和日晒。</w:t>
      </w:r>
    </w:p>
    <w:p w14:paraId="77A76B28">
      <w:pPr>
        <w:pStyle w:val="127"/>
        <w:spacing w:line="360" w:lineRule="exact"/>
      </w:pPr>
      <w:r>
        <w:rPr>
          <w:rFonts w:hint="eastAsia"/>
        </w:rPr>
        <w:t>工业磷酸氢二钾应贮存于阴凉干燥处，防止雨淋和日晒。</w:t>
      </w:r>
    </w:p>
    <w:p w14:paraId="2D1A7C4A">
      <w:pPr>
        <w:pStyle w:val="24"/>
        <w:spacing w:line="360" w:lineRule="exact"/>
        <w:ind w:firstLine="0" w:firstLineChars="0"/>
        <w:jc w:val="center"/>
        <w:rPr>
          <w:rFonts w:ascii="黑体" w:eastAsia="黑体"/>
        </w:rPr>
      </w:pPr>
      <w:r>
        <w:rPr>
          <w:snapToGrid w:val="0"/>
          <w:kern w:val="0"/>
        </w:rPr>
        <w:br w:type="page"/>
      </w:r>
      <w:bookmarkStart w:id="22" w:name="_Hlk178879605"/>
      <w:r>
        <w:rPr>
          <w:rFonts w:hint="eastAsia" w:ascii="黑体" w:eastAsia="黑体"/>
        </w:rPr>
        <w:t xml:space="preserve">附 录 </w:t>
      </w:r>
      <w:r>
        <w:rPr>
          <w:rFonts w:ascii="黑体" w:eastAsia="黑体"/>
        </w:rPr>
        <w:t>A</w:t>
      </w:r>
    </w:p>
    <w:p w14:paraId="46312E34">
      <w:pPr>
        <w:pStyle w:val="24"/>
        <w:spacing w:line="360" w:lineRule="exact"/>
        <w:ind w:firstLine="0" w:firstLineChars="0"/>
        <w:jc w:val="center"/>
        <w:rPr>
          <w:rFonts w:ascii="黑体" w:eastAsia="黑体"/>
        </w:rPr>
      </w:pPr>
      <w:r>
        <w:rPr>
          <w:rFonts w:hint="eastAsia" w:ascii="黑体" w:eastAsia="黑体"/>
        </w:rPr>
        <w:t>（资料性）</w:t>
      </w:r>
    </w:p>
    <w:p w14:paraId="49A760C7">
      <w:pPr>
        <w:pStyle w:val="24"/>
        <w:spacing w:line="360" w:lineRule="exact"/>
        <w:ind w:firstLine="0" w:firstLineChars="0"/>
        <w:jc w:val="center"/>
      </w:pPr>
      <w:r>
        <w:rPr>
          <w:rFonts w:hint="eastAsia"/>
        </w:rPr>
        <w:t>推荐的离子色谱仪操作条件及色谱图</w:t>
      </w:r>
    </w:p>
    <w:p w14:paraId="2C24E827">
      <w:pPr>
        <w:pStyle w:val="24"/>
        <w:spacing w:line="360" w:lineRule="exact"/>
        <w:rPr>
          <w:rFonts w:hint="eastAsia" w:ascii="黑体" w:hAnsi="黑体" w:eastAsia="黑体"/>
        </w:rPr>
      </w:pPr>
      <w:r>
        <w:rPr>
          <w:rFonts w:ascii="Times New Roman"/>
        </w:rPr>
        <w:t xml:space="preserve">    </w:t>
      </w:r>
      <w:r>
        <w:rPr>
          <w:rFonts w:hint="eastAsia" w:ascii="Times New Roman"/>
        </w:rPr>
        <w:t xml:space="preserve">    </w:t>
      </w:r>
    </w:p>
    <w:p w14:paraId="04F2148F">
      <w:pPr>
        <w:pStyle w:val="24"/>
        <w:spacing w:line="360" w:lineRule="exact"/>
        <w:rPr>
          <w:rFonts w:ascii="Times New Roman"/>
        </w:rPr>
      </w:pPr>
      <w:r>
        <w:rPr>
          <w:rFonts w:hint="eastAsia" w:ascii="黑体" w:hAnsi="黑体" w:eastAsia="黑体"/>
        </w:rPr>
        <w:t>A</w:t>
      </w:r>
      <w:r>
        <w:rPr>
          <w:rFonts w:ascii="黑体" w:hAnsi="黑体" w:eastAsia="黑体"/>
        </w:rPr>
        <w:t xml:space="preserve">.1  </w:t>
      </w:r>
      <w:r>
        <w:rPr>
          <w:rFonts w:ascii="Times New Roman"/>
        </w:rPr>
        <w:t>推荐的离子色谱仪操作条件</w:t>
      </w:r>
      <w:r>
        <w:rPr>
          <w:rFonts w:hint="eastAsia" w:ascii="Times New Roman"/>
        </w:rPr>
        <w:t>1</w:t>
      </w:r>
      <w:r>
        <w:rPr>
          <w:rFonts w:ascii="Times New Roman"/>
        </w:rPr>
        <w:t>见表A.1</w:t>
      </w:r>
      <w:r>
        <w:rPr>
          <w:rFonts w:hint="eastAsia" w:ascii="Times New Roman"/>
        </w:rPr>
        <w:t>，对应的离子色谱图见图A.</w:t>
      </w:r>
      <w:r>
        <w:rPr>
          <w:rFonts w:ascii="Times New Roman"/>
        </w:rPr>
        <w:t>1</w:t>
      </w:r>
      <w:r>
        <w:rPr>
          <w:rFonts w:hint="eastAsia" w:ascii="Times New Roman"/>
        </w:rPr>
        <w:t>。</w:t>
      </w:r>
    </w:p>
    <w:p w14:paraId="507DE33A">
      <w:pPr>
        <w:pStyle w:val="24"/>
        <w:spacing w:line="360" w:lineRule="exact"/>
        <w:ind w:firstLine="0" w:firstLineChars="0"/>
        <w:jc w:val="center"/>
        <w:rPr>
          <w:rFonts w:ascii="黑体" w:eastAsia="黑体"/>
        </w:rPr>
      </w:pPr>
      <w:bookmarkStart w:id="23" w:name="DW"/>
      <w:bookmarkEnd w:id="23"/>
      <w:r>
        <w:rPr>
          <w:rFonts w:hint="eastAsia" w:ascii="黑体" w:eastAsia="黑体"/>
        </w:rPr>
        <w:t>表</w:t>
      </w:r>
      <w:r>
        <w:rPr>
          <w:rFonts w:ascii="黑体" w:eastAsia="黑体"/>
        </w:rPr>
        <w:t>A</w:t>
      </w:r>
      <w:r>
        <w:rPr>
          <w:rFonts w:hint="eastAsia" w:ascii="黑体" w:eastAsia="黑体"/>
        </w:rPr>
        <w:t>.1</w:t>
      </w:r>
    </w:p>
    <w:tbl>
      <w:tblPr>
        <w:tblStyle w:val="3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514"/>
      </w:tblGrid>
      <w:tr w14:paraId="482C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3A31442D">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项目</w:t>
            </w:r>
          </w:p>
        </w:tc>
        <w:tc>
          <w:tcPr>
            <w:tcW w:w="6514" w:type="dxa"/>
          </w:tcPr>
          <w:p w14:paraId="77535764">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操作条件</w:t>
            </w:r>
          </w:p>
        </w:tc>
      </w:tr>
      <w:tr w14:paraId="1BF37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30" w:type="dxa"/>
          </w:tcPr>
          <w:p w14:paraId="13C6584F">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色谱柱</w:t>
            </w:r>
          </w:p>
        </w:tc>
        <w:tc>
          <w:tcPr>
            <w:tcW w:w="6514" w:type="dxa"/>
          </w:tcPr>
          <w:p w14:paraId="2F50533A">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固定相为</w:t>
            </w:r>
            <w:r>
              <w:rPr>
                <w:rFonts w:hint="eastAsia" w:ascii="Times New Roman" w:eastAsiaTheme="minorEastAsia"/>
                <w:color w:val="000000" w:themeColor="text1"/>
                <w:sz w:val="18"/>
                <w:szCs w:val="20"/>
                <w14:textFill>
                  <w14:solidFill>
                    <w14:schemeClr w14:val="tx1"/>
                  </w14:solidFill>
                </w14:textFill>
              </w:rPr>
              <w:t>亲水聚苯乙烯-二</w:t>
            </w:r>
            <w:r>
              <w:rPr>
                <w:rFonts w:hint="default" w:ascii="Times New Roman" w:eastAsiaTheme="minorEastAsia"/>
                <w:color w:val="000000" w:themeColor="text1"/>
                <w:sz w:val="18"/>
                <w:szCs w:val="20"/>
                <w14:textFill>
                  <w14:solidFill>
                    <w14:schemeClr w14:val="tx1"/>
                  </w14:solidFill>
                </w14:textFill>
              </w:rPr>
              <w:t>乙烯基</w:t>
            </w:r>
            <w:r>
              <w:rPr>
                <w:rFonts w:hint="eastAsia" w:ascii="Times New Roman" w:eastAsiaTheme="minorEastAsia"/>
                <w:color w:val="000000" w:themeColor="text1"/>
                <w:sz w:val="18"/>
                <w:szCs w:val="20"/>
                <w14:textFill>
                  <w14:solidFill>
                    <w14:schemeClr w14:val="tx1"/>
                  </w14:solidFill>
                </w14:textFill>
              </w:rPr>
              <w:t>苯共聚物</w:t>
            </w:r>
            <w:r>
              <w:rPr>
                <w:rFonts w:hint="default" w:ascii="Times New Roman" w:eastAsiaTheme="minorEastAsia"/>
                <w:color w:val="000000" w:themeColor="text1"/>
                <w:sz w:val="18"/>
                <w:szCs w:val="20"/>
                <w14:textFill>
                  <w14:solidFill>
                    <w14:schemeClr w14:val="tx1"/>
                  </w14:solidFill>
                </w14:textFill>
              </w:rPr>
              <w:t>，具有季铵盐功能团</w:t>
            </w:r>
          </w:p>
        </w:tc>
      </w:tr>
      <w:tr w14:paraId="3B48C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33458753">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淋洗液</w:t>
            </w:r>
          </w:p>
        </w:tc>
        <w:tc>
          <w:tcPr>
            <w:tcW w:w="6514" w:type="dxa"/>
          </w:tcPr>
          <w:p w14:paraId="24BAE395">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碳酸钠8.0 mmol/L+</w:t>
            </w:r>
            <w:r>
              <w:rPr>
                <w:rFonts w:hint="eastAsia" w:ascii="Times New Roman" w:eastAsiaTheme="minorEastAsia"/>
                <w:color w:val="000000" w:themeColor="text1"/>
                <w:sz w:val="18"/>
                <w:szCs w:val="20"/>
                <w14:textFill>
                  <w14:solidFill>
                    <w14:schemeClr w14:val="tx1"/>
                  </w14:solidFill>
                </w14:textFill>
              </w:rPr>
              <w:t xml:space="preserve">氢氧化钠8.0 </w:t>
            </w:r>
            <w:r>
              <w:rPr>
                <w:rFonts w:hint="default" w:ascii="Times New Roman" w:eastAsiaTheme="minorEastAsia"/>
                <w:color w:val="000000" w:themeColor="text1"/>
                <w:sz w:val="18"/>
                <w:szCs w:val="20"/>
                <w14:textFill>
                  <w14:solidFill>
                    <w14:schemeClr w14:val="tx1"/>
                  </w14:solidFill>
                </w14:textFill>
              </w:rPr>
              <w:t>mmol/L</w:t>
            </w:r>
          </w:p>
        </w:tc>
      </w:tr>
      <w:tr w14:paraId="7BA4D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6A41FA4A">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淋洗液流速</w:t>
            </w:r>
          </w:p>
        </w:tc>
        <w:tc>
          <w:tcPr>
            <w:tcW w:w="6514" w:type="dxa"/>
          </w:tcPr>
          <w:p w14:paraId="7A85EA8A">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0.</w:t>
            </w:r>
            <w:r>
              <w:rPr>
                <w:rFonts w:hint="eastAsia" w:ascii="Times New Roman" w:eastAsiaTheme="minorEastAsia"/>
                <w:color w:val="000000" w:themeColor="text1"/>
                <w:sz w:val="18"/>
                <w:szCs w:val="20"/>
                <w14:textFill>
                  <w14:solidFill>
                    <w14:schemeClr w14:val="tx1"/>
                  </w14:solidFill>
                </w14:textFill>
              </w:rPr>
              <w:t xml:space="preserve">7 </w:t>
            </w:r>
            <w:r>
              <w:rPr>
                <w:rFonts w:hint="default" w:ascii="Times New Roman" w:eastAsiaTheme="minorEastAsia"/>
                <w:color w:val="000000" w:themeColor="text1"/>
                <w:sz w:val="18"/>
                <w:szCs w:val="20"/>
                <w14:textFill>
                  <w14:solidFill>
                    <w14:schemeClr w14:val="tx1"/>
                  </w14:solidFill>
                </w14:textFill>
              </w:rPr>
              <w:t>mL/min</w:t>
            </w:r>
          </w:p>
        </w:tc>
      </w:tr>
      <w:tr w14:paraId="388A5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31C09BF1">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柱温</w:t>
            </w:r>
          </w:p>
        </w:tc>
        <w:tc>
          <w:tcPr>
            <w:tcW w:w="6514" w:type="dxa"/>
          </w:tcPr>
          <w:p w14:paraId="6F63B90A">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3</w:t>
            </w:r>
            <w:r>
              <w:rPr>
                <w:rFonts w:hint="eastAsia" w:ascii="Times New Roman" w:eastAsiaTheme="minorEastAsia"/>
                <w:color w:val="000000" w:themeColor="text1"/>
                <w:sz w:val="18"/>
                <w:szCs w:val="20"/>
                <w14:textFill>
                  <w14:solidFill>
                    <w14:schemeClr w14:val="tx1"/>
                  </w14:solidFill>
                </w14:textFill>
              </w:rPr>
              <w:t>0</w:t>
            </w:r>
            <w:r>
              <w:rPr>
                <w:rFonts w:hint="default" w:ascii="Times New Roman" w:eastAsiaTheme="minorEastAsia"/>
                <w:color w:val="000000" w:themeColor="text1"/>
                <w:sz w:val="18"/>
                <w:szCs w:val="20"/>
                <w14:textFill>
                  <w14:solidFill>
                    <w14:schemeClr w14:val="tx1"/>
                  </w14:solidFill>
                </w14:textFill>
              </w:rPr>
              <w:t xml:space="preserve"> ℃</w:t>
            </w:r>
          </w:p>
        </w:tc>
      </w:tr>
      <w:tr w14:paraId="4B319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6D5B4820">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eastAsia" w:ascii="Times New Roman" w:eastAsiaTheme="minorEastAsia"/>
                <w:color w:val="000000" w:themeColor="text1"/>
                <w:sz w:val="18"/>
                <w:szCs w:val="20"/>
                <w14:textFill>
                  <w14:solidFill>
                    <w14:schemeClr w14:val="tx1"/>
                  </w14:solidFill>
                </w14:textFill>
              </w:rPr>
              <w:t>阴离子</w:t>
            </w:r>
            <w:r>
              <w:rPr>
                <w:rFonts w:hint="default" w:ascii="Times New Roman" w:eastAsiaTheme="minorEastAsia"/>
                <w:color w:val="000000" w:themeColor="text1"/>
                <w:sz w:val="18"/>
                <w:szCs w:val="20"/>
                <w14:textFill>
                  <w14:solidFill>
                    <w14:schemeClr w14:val="tx1"/>
                  </w14:solidFill>
                </w14:textFill>
              </w:rPr>
              <w:t>预浓缩柱</w:t>
            </w:r>
          </w:p>
        </w:tc>
        <w:tc>
          <w:tcPr>
            <w:tcW w:w="6514" w:type="dxa"/>
          </w:tcPr>
          <w:p w14:paraId="4E5586F9">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 xml:space="preserve"> </w:t>
            </w:r>
            <w:r>
              <w:rPr>
                <w:rFonts w:hint="eastAsia" w:ascii="Times New Roman" w:eastAsiaTheme="minorEastAsia"/>
                <w:color w:val="000000" w:themeColor="text1"/>
                <w:sz w:val="18"/>
                <w:szCs w:val="20"/>
                <w14:textFill>
                  <w14:solidFill>
                    <w14:schemeClr w14:val="tx1"/>
                  </w14:solidFill>
                </w14:textFill>
              </w:rPr>
              <w:t>固定相为聚甲基苯烯酸酯，具有</w:t>
            </w:r>
            <w:r>
              <w:rPr>
                <w:rFonts w:hint="default" w:ascii="Times New Roman" w:eastAsiaTheme="minorEastAsia"/>
                <w:color w:val="000000" w:themeColor="text1"/>
                <w:sz w:val="18"/>
                <w:szCs w:val="20"/>
                <w14:textFill>
                  <w14:solidFill>
                    <w14:schemeClr w14:val="tx1"/>
                  </w14:solidFill>
                </w14:textFill>
              </w:rPr>
              <w:t>季铵盐功能团</w:t>
            </w:r>
          </w:p>
        </w:tc>
      </w:tr>
      <w:tr w14:paraId="065DE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0" w:type="dxa"/>
          </w:tcPr>
          <w:p w14:paraId="22FC4AAC">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再生液</w:t>
            </w:r>
          </w:p>
        </w:tc>
        <w:tc>
          <w:tcPr>
            <w:tcW w:w="6514" w:type="dxa"/>
          </w:tcPr>
          <w:p w14:paraId="5EA985EE">
            <w:pPr>
              <w:pStyle w:val="24"/>
              <w:keepNext w:val="0"/>
              <w:keepLines w:val="0"/>
              <w:widowControl/>
              <w:suppressLineNumbers w:val="0"/>
              <w:spacing w:before="0" w:beforeAutospacing="0" w:after="0" w:afterAutospacing="0" w:line="360" w:lineRule="exact"/>
              <w:ind w:left="0" w:right="0" w:firstLine="0" w:firstLineChars="0"/>
              <w:jc w:val="center"/>
              <w:rPr>
                <w:rFonts w:hint="default" w:ascii="Times New Roman" w:eastAsiaTheme="minorEastAsia"/>
                <w:color w:val="000000" w:themeColor="text1"/>
                <w:sz w:val="18"/>
                <w:szCs w:val="20"/>
                <w14:textFill>
                  <w14:solidFill>
                    <w14:schemeClr w14:val="tx1"/>
                  </w14:solidFill>
                </w14:textFill>
              </w:rPr>
            </w:pPr>
            <w:r>
              <w:rPr>
                <w:rFonts w:hint="default" w:ascii="Times New Roman" w:eastAsiaTheme="minorEastAsia"/>
                <w:color w:val="000000" w:themeColor="text1"/>
                <w:sz w:val="18"/>
                <w:szCs w:val="20"/>
                <w14:textFill>
                  <w14:solidFill>
                    <w14:schemeClr w14:val="tx1"/>
                  </w14:solidFill>
                </w14:textFill>
              </w:rPr>
              <w:t>200 mmol/L硫酸</w:t>
            </w:r>
          </w:p>
        </w:tc>
      </w:tr>
    </w:tbl>
    <w:p w14:paraId="2DEC49D6">
      <w:pPr>
        <w:pStyle w:val="24"/>
        <w:spacing w:line="360" w:lineRule="exact"/>
        <w:rPr>
          <w:rFonts w:hint="eastAsia" w:ascii="黑体" w:hAnsi="黑体" w:eastAsia="黑体"/>
        </w:rPr>
      </w:pPr>
    </w:p>
    <w:p w14:paraId="72B6C50D">
      <w:pPr>
        <w:pStyle w:val="24"/>
        <w:spacing w:line="360" w:lineRule="exact"/>
        <w:jc w:val="center"/>
        <w:rPr>
          <w:rFonts w:hint="eastAsia" w:ascii="黑体" w:hAnsi="黑体" w:eastAsia="黑体"/>
        </w:rPr>
      </w:pPr>
    </w:p>
    <w:p w14:paraId="01ABD837">
      <w:pPr>
        <w:pStyle w:val="24"/>
        <w:spacing w:line="360" w:lineRule="exact"/>
        <w:jc w:val="center"/>
        <w:rPr>
          <w:rFonts w:hint="eastAsia" w:ascii="黑体" w:hAnsi="黑体" w:eastAsia="黑体"/>
        </w:rPr>
      </w:pPr>
      <w:r>
        <w:drawing>
          <wp:anchor distT="0" distB="0" distL="114300" distR="114300" simplePos="0" relativeHeight="251665408" behindDoc="0" locked="0" layoutInCell="1" allowOverlap="1">
            <wp:simplePos x="0" y="0"/>
            <wp:positionH relativeFrom="column">
              <wp:posOffset>46355</wp:posOffset>
            </wp:positionH>
            <wp:positionV relativeFrom="paragraph">
              <wp:posOffset>76200</wp:posOffset>
            </wp:positionV>
            <wp:extent cx="5481955" cy="2487930"/>
            <wp:effectExtent l="0" t="0" r="4445" b="11430"/>
            <wp:wrapTopAndBottom/>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pic:cNvPicPr>
                      <a:picLocks noChangeAspect="1"/>
                    </pic:cNvPicPr>
                  </pic:nvPicPr>
                  <pic:blipFill>
                    <a:blip r:embed="rId20"/>
                    <a:stretch>
                      <a:fillRect/>
                    </a:stretch>
                  </pic:blipFill>
                  <pic:spPr>
                    <a:xfrm>
                      <a:off x="0" y="0"/>
                      <a:ext cx="5481955" cy="2487930"/>
                    </a:xfrm>
                    <a:prstGeom prst="rect">
                      <a:avLst/>
                    </a:prstGeom>
                    <a:noFill/>
                    <a:ln>
                      <a:noFill/>
                    </a:ln>
                  </pic:spPr>
                </pic:pic>
              </a:graphicData>
            </a:graphic>
          </wp:anchor>
        </w:drawing>
      </w:r>
    </w:p>
    <w:p w14:paraId="2B4B1CC7">
      <w:pPr>
        <w:pStyle w:val="24"/>
        <w:spacing w:line="360" w:lineRule="exact"/>
        <w:ind w:left="0" w:leftChars="0" w:firstLine="0" w:firstLineChars="0"/>
        <w:jc w:val="center"/>
        <w:rPr>
          <w:rFonts w:hint="eastAsia" w:ascii="黑体" w:hAnsi="黑体" w:eastAsia="黑体"/>
        </w:rPr>
      </w:pPr>
      <w:bookmarkStart w:id="25" w:name="_GoBack"/>
      <w:bookmarkEnd w:id="25"/>
      <w:r>
        <w:rPr>
          <w:rFonts w:hint="eastAsia" w:ascii="黑体" w:hAnsi="黑体" w:eastAsia="黑体"/>
        </w:rPr>
        <w:t>图A.</w:t>
      </w:r>
      <w:r>
        <w:rPr>
          <w:rFonts w:ascii="黑体" w:hAnsi="黑体" w:eastAsia="黑体"/>
        </w:rPr>
        <w:t xml:space="preserve">1 </w:t>
      </w:r>
      <w:r>
        <w:rPr>
          <w:rFonts w:hint="eastAsia" w:ascii="黑体" w:hAnsi="黑体" w:eastAsia="黑体"/>
        </w:rPr>
        <w:t>离子色谱图</w:t>
      </w:r>
    </w:p>
    <w:p w14:paraId="75E83237">
      <w:pPr>
        <w:pStyle w:val="44"/>
        <w:numPr>
          <w:ilvl w:val="0"/>
          <w:numId w:val="0"/>
        </w:numPr>
        <w:spacing w:before="120" w:after="120"/>
      </w:pPr>
    </w:p>
    <w:bookmarkEnd w:id="22"/>
    <w:p w14:paraId="7C9D8849">
      <w:pPr>
        <w:pStyle w:val="44"/>
        <w:numPr>
          <w:ilvl w:val="0"/>
          <w:numId w:val="0"/>
        </w:numPr>
        <w:spacing w:before="120" w:after="120"/>
        <w:jc w:val="center"/>
        <w:rPr>
          <w:szCs w:val="28"/>
        </w:rPr>
      </w:pPr>
      <w:r>
        <w:t>_________________________________</w:t>
      </w:r>
    </w:p>
    <w:p w14:paraId="7FC6B1AD">
      <w:pPr>
        <w:rPr>
          <w:snapToGrid w:val="0"/>
          <w:kern w:val="0"/>
        </w:rPr>
      </w:pPr>
    </w:p>
    <w:sectPr>
      <w:pgSz w:w="11906" w:h="16838"/>
      <w:pgMar w:top="567" w:right="1134" w:bottom="1134" w:left="1418"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TimesNewRomanPSMT">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华文新魏">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auto"/>
    <w:pitch w:val="default"/>
    <w:sig w:usb0="E00006FF" w:usb1="420024FF" w:usb2="02000000" w:usb3="00000000" w:csb0="2000019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430D9">
    <w:pPr>
      <w:pStyle w:val="45"/>
    </w:pPr>
    <w:r>
      <w:fldChar w:fldCharType="begin"/>
    </w:r>
    <w:r>
      <w:instrText xml:space="preserve"> PAGE  \* MERGEFORMAT </w:instrText>
    </w:r>
    <w:r>
      <w:fldChar w:fldCharType="separate"/>
    </w:r>
    <w:r>
      <w:t>9</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7983C5">
    <w:pPr>
      <w:pStyle w:val="46"/>
    </w:pPr>
    <w:bookmarkStart w:id="24" w:name="OLE_LINK2"/>
    <w:r>
      <w:t>HG/T 4</w:t>
    </w:r>
    <w:r>
      <w:rPr>
        <w:rFonts w:hint="eastAsia"/>
      </w:rPr>
      <w:t>510</w:t>
    </w:r>
    <w:bookmarkEnd w:id="24"/>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87292"/>
    <w:multiLevelType w:val="singleLevel"/>
    <w:tmpl w:val="13487292"/>
    <w:lvl w:ilvl="0" w:tentative="0">
      <w:start w:val="1"/>
      <w:numFmt w:val="lowerLetter"/>
      <w:lvlText w:val="%1)"/>
      <w:lvlJc w:val="left"/>
      <w:pPr>
        <w:tabs>
          <w:tab w:val="left" w:pos="420"/>
        </w:tabs>
        <w:ind w:left="425" w:hanging="425"/>
      </w:pPr>
      <w:rPr>
        <w:rFonts w:hint="default"/>
      </w:rPr>
    </w:lvl>
  </w:abstractNum>
  <w:abstractNum w:abstractNumId="1">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pStyle w:val="53"/>
      <w:suff w:val="nothing"/>
      <w:lvlText w:val="%1.%2.%3.%4　"/>
      <w:lvlJc w:val="left"/>
      <w:pPr>
        <w:ind w:left="0" w:firstLine="0"/>
      </w:pPr>
      <w:rPr>
        <w:rFonts w:hint="eastAsia" w:ascii="黑体" w:hAnsi="Times New Roman" w:eastAsia="黑体"/>
        <w:b w:val="0"/>
        <w:i w:val="0"/>
        <w:sz w:val="21"/>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pStyle w:val="6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7">
    <w:nsid w:val="48DECBBC"/>
    <w:multiLevelType w:val="singleLevel"/>
    <w:tmpl w:val="48DECBBC"/>
    <w:lvl w:ilvl="0" w:tentative="0">
      <w:start w:val="1"/>
      <w:numFmt w:val="lowerLetter"/>
      <w:lvlText w:val="%1)"/>
      <w:lvlJc w:val="left"/>
      <w:pPr>
        <w:tabs>
          <w:tab w:val="left" w:pos="420"/>
        </w:tabs>
        <w:ind w:left="425" w:hanging="425"/>
      </w:pPr>
      <w:rPr>
        <w:rFonts w:hint="default"/>
      </w:rPr>
    </w:lvl>
  </w:abstractNum>
  <w:abstractNum w:abstractNumId="8">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9">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0">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1">
    <w:nsid w:val="71B90A39"/>
    <w:multiLevelType w:val="multilevel"/>
    <w:tmpl w:val="71B90A39"/>
    <w:lvl w:ilvl="0" w:tentative="0">
      <w:start w:val="1"/>
      <w:numFmt w:val="low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4"/>
  </w:num>
  <w:num w:numId="4">
    <w:abstractNumId w:val="6"/>
  </w:num>
  <w:num w:numId="5">
    <w:abstractNumId w:val="1"/>
  </w:num>
  <w:num w:numId="6">
    <w:abstractNumId w:val="9"/>
  </w:num>
  <w:num w:numId="7">
    <w:abstractNumId w:val="8"/>
  </w:num>
  <w:num w:numId="8">
    <w:abstractNumId w:val="10"/>
  </w:num>
  <w:num w:numId="9">
    <w:abstractNumId w:val="3"/>
  </w:num>
  <w:num w:numId="10">
    <w:abstractNumId w:val="0"/>
  </w:num>
  <w:num w:numId="11">
    <w:abstractNumId w:val="7"/>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NlMGQzOGFhOWYyMmZmNTg4MWNmMjZiMmY0NzI2YTUifQ=="/>
  </w:docVars>
  <w:rsids>
    <w:rsidRoot w:val="00035925"/>
    <w:rsid w:val="00000244"/>
    <w:rsid w:val="0000185F"/>
    <w:rsid w:val="0000586F"/>
    <w:rsid w:val="00013D86"/>
    <w:rsid w:val="00013E02"/>
    <w:rsid w:val="0002143C"/>
    <w:rsid w:val="00025A65"/>
    <w:rsid w:val="000261BF"/>
    <w:rsid w:val="00026C31"/>
    <w:rsid w:val="00027280"/>
    <w:rsid w:val="000320A7"/>
    <w:rsid w:val="00035925"/>
    <w:rsid w:val="00055BBB"/>
    <w:rsid w:val="0006270C"/>
    <w:rsid w:val="00064A02"/>
    <w:rsid w:val="00065721"/>
    <w:rsid w:val="00067CDF"/>
    <w:rsid w:val="00074FBE"/>
    <w:rsid w:val="00075781"/>
    <w:rsid w:val="0007732F"/>
    <w:rsid w:val="00083A09"/>
    <w:rsid w:val="0009005E"/>
    <w:rsid w:val="0009250C"/>
    <w:rsid w:val="00092857"/>
    <w:rsid w:val="000A20A9"/>
    <w:rsid w:val="000A48B1"/>
    <w:rsid w:val="000B3143"/>
    <w:rsid w:val="000C6B05"/>
    <w:rsid w:val="000C6DD6"/>
    <w:rsid w:val="000C73D4"/>
    <w:rsid w:val="000D3D4C"/>
    <w:rsid w:val="000D4F51"/>
    <w:rsid w:val="000D718B"/>
    <w:rsid w:val="000E0C46"/>
    <w:rsid w:val="000E296A"/>
    <w:rsid w:val="000F030C"/>
    <w:rsid w:val="000F129C"/>
    <w:rsid w:val="000F71C8"/>
    <w:rsid w:val="001056DE"/>
    <w:rsid w:val="0011147B"/>
    <w:rsid w:val="001124C0"/>
    <w:rsid w:val="00125BDE"/>
    <w:rsid w:val="0013175F"/>
    <w:rsid w:val="001512B4"/>
    <w:rsid w:val="0015338A"/>
    <w:rsid w:val="001620A5"/>
    <w:rsid w:val="00164E53"/>
    <w:rsid w:val="00166905"/>
    <w:rsid w:val="0016699D"/>
    <w:rsid w:val="00170A1F"/>
    <w:rsid w:val="00175159"/>
    <w:rsid w:val="00176208"/>
    <w:rsid w:val="0018211B"/>
    <w:rsid w:val="001840D3"/>
    <w:rsid w:val="001900F8"/>
    <w:rsid w:val="00191258"/>
    <w:rsid w:val="00192537"/>
    <w:rsid w:val="00192680"/>
    <w:rsid w:val="00192E75"/>
    <w:rsid w:val="00193037"/>
    <w:rsid w:val="00193A2C"/>
    <w:rsid w:val="001A288E"/>
    <w:rsid w:val="001A68FA"/>
    <w:rsid w:val="001B24F7"/>
    <w:rsid w:val="001B6DC2"/>
    <w:rsid w:val="001C149C"/>
    <w:rsid w:val="001C21AC"/>
    <w:rsid w:val="001C47BA"/>
    <w:rsid w:val="001C59EA"/>
    <w:rsid w:val="001D406C"/>
    <w:rsid w:val="001D41EE"/>
    <w:rsid w:val="001E0380"/>
    <w:rsid w:val="001E13B1"/>
    <w:rsid w:val="001E7391"/>
    <w:rsid w:val="001F3A19"/>
    <w:rsid w:val="00234467"/>
    <w:rsid w:val="00237D8D"/>
    <w:rsid w:val="00241DA2"/>
    <w:rsid w:val="002452CC"/>
    <w:rsid w:val="00247FEE"/>
    <w:rsid w:val="00250E7D"/>
    <w:rsid w:val="002565D5"/>
    <w:rsid w:val="002622C0"/>
    <w:rsid w:val="002744E6"/>
    <w:rsid w:val="002778AE"/>
    <w:rsid w:val="0028269A"/>
    <w:rsid w:val="00283590"/>
    <w:rsid w:val="00286973"/>
    <w:rsid w:val="00293AB2"/>
    <w:rsid w:val="00294E70"/>
    <w:rsid w:val="00297AE4"/>
    <w:rsid w:val="002A1924"/>
    <w:rsid w:val="002A7420"/>
    <w:rsid w:val="002B0F12"/>
    <w:rsid w:val="002B1308"/>
    <w:rsid w:val="002B406F"/>
    <w:rsid w:val="002B4554"/>
    <w:rsid w:val="002C72D8"/>
    <w:rsid w:val="002D11FA"/>
    <w:rsid w:val="002E0DDF"/>
    <w:rsid w:val="002E2906"/>
    <w:rsid w:val="002E5635"/>
    <w:rsid w:val="002E64C3"/>
    <w:rsid w:val="002E6A2C"/>
    <w:rsid w:val="002F1D8C"/>
    <w:rsid w:val="002F21DA"/>
    <w:rsid w:val="00301F39"/>
    <w:rsid w:val="00325926"/>
    <w:rsid w:val="00327A8A"/>
    <w:rsid w:val="00336610"/>
    <w:rsid w:val="0034011C"/>
    <w:rsid w:val="00343F73"/>
    <w:rsid w:val="00345060"/>
    <w:rsid w:val="0035323B"/>
    <w:rsid w:val="003609D2"/>
    <w:rsid w:val="00363F22"/>
    <w:rsid w:val="00363FB0"/>
    <w:rsid w:val="00375564"/>
    <w:rsid w:val="00376C43"/>
    <w:rsid w:val="00383191"/>
    <w:rsid w:val="00384A55"/>
    <w:rsid w:val="00386DED"/>
    <w:rsid w:val="003912E7"/>
    <w:rsid w:val="00393947"/>
    <w:rsid w:val="0039671A"/>
    <w:rsid w:val="003A2275"/>
    <w:rsid w:val="003A2CD6"/>
    <w:rsid w:val="003A6A4F"/>
    <w:rsid w:val="003A7088"/>
    <w:rsid w:val="003B00DF"/>
    <w:rsid w:val="003B1275"/>
    <w:rsid w:val="003B1778"/>
    <w:rsid w:val="003C11CB"/>
    <w:rsid w:val="003C75F3"/>
    <w:rsid w:val="003C78A3"/>
    <w:rsid w:val="003D22C8"/>
    <w:rsid w:val="003E1867"/>
    <w:rsid w:val="003E5729"/>
    <w:rsid w:val="003F4EE0"/>
    <w:rsid w:val="004003C2"/>
    <w:rsid w:val="00402153"/>
    <w:rsid w:val="00402FC1"/>
    <w:rsid w:val="00425082"/>
    <w:rsid w:val="00431DEB"/>
    <w:rsid w:val="0044267B"/>
    <w:rsid w:val="00446B29"/>
    <w:rsid w:val="00451EEF"/>
    <w:rsid w:val="00453F9A"/>
    <w:rsid w:val="00467170"/>
    <w:rsid w:val="00471E91"/>
    <w:rsid w:val="00474675"/>
    <w:rsid w:val="0047470C"/>
    <w:rsid w:val="00483E4F"/>
    <w:rsid w:val="004A31F0"/>
    <w:rsid w:val="004A35F9"/>
    <w:rsid w:val="004B24C1"/>
    <w:rsid w:val="004B46B9"/>
    <w:rsid w:val="004C292F"/>
    <w:rsid w:val="004C671F"/>
    <w:rsid w:val="004E64D9"/>
    <w:rsid w:val="004E71A3"/>
    <w:rsid w:val="004F55CE"/>
    <w:rsid w:val="00506AF1"/>
    <w:rsid w:val="00510280"/>
    <w:rsid w:val="00513D73"/>
    <w:rsid w:val="00514A43"/>
    <w:rsid w:val="005174E5"/>
    <w:rsid w:val="00522393"/>
    <w:rsid w:val="00522620"/>
    <w:rsid w:val="00525656"/>
    <w:rsid w:val="00534C02"/>
    <w:rsid w:val="0054264B"/>
    <w:rsid w:val="00543786"/>
    <w:rsid w:val="005533D7"/>
    <w:rsid w:val="005703DE"/>
    <w:rsid w:val="00576250"/>
    <w:rsid w:val="0057771D"/>
    <w:rsid w:val="0058464E"/>
    <w:rsid w:val="005A01CB"/>
    <w:rsid w:val="005A58FF"/>
    <w:rsid w:val="005A5EAF"/>
    <w:rsid w:val="005A64C0"/>
    <w:rsid w:val="005B2D86"/>
    <w:rsid w:val="005B3C11"/>
    <w:rsid w:val="005C1C28"/>
    <w:rsid w:val="005C6DB5"/>
    <w:rsid w:val="005D53D6"/>
    <w:rsid w:val="005D6CDB"/>
    <w:rsid w:val="005E19E7"/>
    <w:rsid w:val="005E4624"/>
    <w:rsid w:val="0060046B"/>
    <w:rsid w:val="00601E05"/>
    <w:rsid w:val="00602EF4"/>
    <w:rsid w:val="00603AEE"/>
    <w:rsid w:val="0061716C"/>
    <w:rsid w:val="006243A1"/>
    <w:rsid w:val="00632E56"/>
    <w:rsid w:val="00635CBA"/>
    <w:rsid w:val="0064338B"/>
    <w:rsid w:val="00646542"/>
    <w:rsid w:val="006504F4"/>
    <w:rsid w:val="00654BC9"/>
    <w:rsid w:val="006552FD"/>
    <w:rsid w:val="00663AF3"/>
    <w:rsid w:val="00666B6C"/>
    <w:rsid w:val="00682682"/>
    <w:rsid w:val="00682702"/>
    <w:rsid w:val="00692368"/>
    <w:rsid w:val="006A2EBC"/>
    <w:rsid w:val="006A5914"/>
    <w:rsid w:val="006A598C"/>
    <w:rsid w:val="006A5EA0"/>
    <w:rsid w:val="006A783B"/>
    <w:rsid w:val="006A7B33"/>
    <w:rsid w:val="006B4E13"/>
    <w:rsid w:val="006B75DD"/>
    <w:rsid w:val="006C0861"/>
    <w:rsid w:val="006C67E0"/>
    <w:rsid w:val="006C7ABA"/>
    <w:rsid w:val="006D0D60"/>
    <w:rsid w:val="006D1122"/>
    <w:rsid w:val="006D3C00"/>
    <w:rsid w:val="006D521A"/>
    <w:rsid w:val="006E3675"/>
    <w:rsid w:val="006E4A7F"/>
    <w:rsid w:val="00704DF6"/>
    <w:rsid w:val="007056D4"/>
    <w:rsid w:val="0070651C"/>
    <w:rsid w:val="007132A3"/>
    <w:rsid w:val="00716421"/>
    <w:rsid w:val="0072127E"/>
    <w:rsid w:val="00724EFB"/>
    <w:rsid w:val="0074122A"/>
    <w:rsid w:val="007419C3"/>
    <w:rsid w:val="007467A7"/>
    <w:rsid w:val="007469DD"/>
    <w:rsid w:val="0074741B"/>
    <w:rsid w:val="0074759E"/>
    <w:rsid w:val="007478EA"/>
    <w:rsid w:val="0075415C"/>
    <w:rsid w:val="00755D4D"/>
    <w:rsid w:val="00763502"/>
    <w:rsid w:val="007659EC"/>
    <w:rsid w:val="007913AB"/>
    <w:rsid w:val="007914F7"/>
    <w:rsid w:val="007A0770"/>
    <w:rsid w:val="007B1625"/>
    <w:rsid w:val="007B706E"/>
    <w:rsid w:val="007B71EB"/>
    <w:rsid w:val="007C290B"/>
    <w:rsid w:val="007C6205"/>
    <w:rsid w:val="007C66D0"/>
    <w:rsid w:val="007C686A"/>
    <w:rsid w:val="007C728E"/>
    <w:rsid w:val="007D2C53"/>
    <w:rsid w:val="007D3D60"/>
    <w:rsid w:val="007E1980"/>
    <w:rsid w:val="007E4B76"/>
    <w:rsid w:val="007E5EA8"/>
    <w:rsid w:val="007F0CF1"/>
    <w:rsid w:val="007F12A5"/>
    <w:rsid w:val="007F4CF1"/>
    <w:rsid w:val="007F758D"/>
    <w:rsid w:val="007F7D52"/>
    <w:rsid w:val="0080654C"/>
    <w:rsid w:val="008071C6"/>
    <w:rsid w:val="00815A27"/>
    <w:rsid w:val="00817A00"/>
    <w:rsid w:val="00826687"/>
    <w:rsid w:val="00835DB3"/>
    <w:rsid w:val="0083617B"/>
    <w:rsid w:val="008371BD"/>
    <w:rsid w:val="00850383"/>
    <w:rsid w:val="008504A8"/>
    <w:rsid w:val="00850BDE"/>
    <w:rsid w:val="0085282E"/>
    <w:rsid w:val="00862077"/>
    <w:rsid w:val="0087198C"/>
    <w:rsid w:val="00872C1F"/>
    <w:rsid w:val="00873B42"/>
    <w:rsid w:val="00877C9B"/>
    <w:rsid w:val="008856D8"/>
    <w:rsid w:val="00891005"/>
    <w:rsid w:val="00892E82"/>
    <w:rsid w:val="008968AB"/>
    <w:rsid w:val="008A0EFA"/>
    <w:rsid w:val="008B31B7"/>
    <w:rsid w:val="008C1B58"/>
    <w:rsid w:val="008C39AE"/>
    <w:rsid w:val="008C585C"/>
    <w:rsid w:val="008C590D"/>
    <w:rsid w:val="008E031B"/>
    <w:rsid w:val="008E7029"/>
    <w:rsid w:val="008E7EF6"/>
    <w:rsid w:val="008F12C3"/>
    <w:rsid w:val="008F1F98"/>
    <w:rsid w:val="008F4120"/>
    <w:rsid w:val="008F6758"/>
    <w:rsid w:val="00902E2E"/>
    <w:rsid w:val="009040DD"/>
    <w:rsid w:val="00905B47"/>
    <w:rsid w:val="0091331C"/>
    <w:rsid w:val="00913AA3"/>
    <w:rsid w:val="00914F5F"/>
    <w:rsid w:val="009215F7"/>
    <w:rsid w:val="00922C0E"/>
    <w:rsid w:val="009279DE"/>
    <w:rsid w:val="00930116"/>
    <w:rsid w:val="0094212C"/>
    <w:rsid w:val="009452B5"/>
    <w:rsid w:val="009525B0"/>
    <w:rsid w:val="00954689"/>
    <w:rsid w:val="009617C9"/>
    <w:rsid w:val="00961C93"/>
    <w:rsid w:val="00965324"/>
    <w:rsid w:val="0097091E"/>
    <w:rsid w:val="009760D3"/>
    <w:rsid w:val="00977132"/>
    <w:rsid w:val="00981A4B"/>
    <w:rsid w:val="00982501"/>
    <w:rsid w:val="009877D3"/>
    <w:rsid w:val="00993D6C"/>
    <w:rsid w:val="00994E8F"/>
    <w:rsid w:val="009951DC"/>
    <w:rsid w:val="009959BB"/>
    <w:rsid w:val="00997158"/>
    <w:rsid w:val="0099717A"/>
    <w:rsid w:val="009A321D"/>
    <w:rsid w:val="009A3A7C"/>
    <w:rsid w:val="009B2ADB"/>
    <w:rsid w:val="009B603A"/>
    <w:rsid w:val="009C2D0E"/>
    <w:rsid w:val="009C3DAC"/>
    <w:rsid w:val="009C42E0"/>
    <w:rsid w:val="009D1188"/>
    <w:rsid w:val="009D5362"/>
    <w:rsid w:val="009E1415"/>
    <w:rsid w:val="009E6116"/>
    <w:rsid w:val="009F6D2B"/>
    <w:rsid w:val="00A02E43"/>
    <w:rsid w:val="00A05263"/>
    <w:rsid w:val="00A065F9"/>
    <w:rsid w:val="00A07F34"/>
    <w:rsid w:val="00A219E6"/>
    <w:rsid w:val="00A22154"/>
    <w:rsid w:val="00A25C38"/>
    <w:rsid w:val="00A33A25"/>
    <w:rsid w:val="00A33ECD"/>
    <w:rsid w:val="00A36BBE"/>
    <w:rsid w:val="00A4307A"/>
    <w:rsid w:val="00A47EBB"/>
    <w:rsid w:val="00A508EB"/>
    <w:rsid w:val="00A51CDD"/>
    <w:rsid w:val="00A602F2"/>
    <w:rsid w:val="00A61F34"/>
    <w:rsid w:val="00A6730D"/>
    <w:rsid w:val="00A71625"/>
    <w:rsid w:val="00A71B9B"/>
    <w:rsid w:val="00A751C7"/>
    <w:rsid w:val="00A75735"/>
    <w:rsid w:val="00A76B65"/>
    <w:rsid w:val="00A82DB4"/>
    <w:rsid w:val="00A87844"/>
    <w:rsid w:val="00AA038C"/>
    <w:rsid w:val="00AA0AB2"/>
    <w:rsid w:val="00AA0FA8"/>
    <w:rsid w:val="00AA62FA"/>
    <w:rsid w:val="00AA7A09"/>
    <w:rsid w:val="00AB3B50"/>
    <w:rsid w:val="00AC05B1"/>
    <w:rsid w:val="00AD356C"/>
    <w:rsid w:val="00AD59B4"/>
    <w:rsid w:val="00AE2154"/>
    <w:rsid w:val="00AE2914"/>
    <w:rsid w:val="00AE6D15"/>
    <w:rsid w:val="00AF2C71"/>
    <w:rsid w:val="00B01EA8"/>
    <w:rsid w:val="00B04182"/>
    <w:rsid w:val="00B07AE3"/>
    <w:rsid w:val="00B11430"/>
    <w:rsid w:val="00B353EB"/>
    <w:rsid w:val="00B439C4"/>
    <w:rsid w:val="00B4535E"/>
    <w:rsid w:val="00B52A8C"/>
    <w:rsid w:val="00B5660B"/>
    <w:rsid w:val="00B636A8"/>
    <w:rsid w:val="00B665C6"/>
    <w:rsid w:val="00B805AF"/>
    <w:rsid w:val="00B869EC"/>
    <w:rsid w:val="00B9397A"/>
    <w:rsid w:val="00B9633D"/>
    <w:rsid w:val="00BA04BE"/>
    <w:rsid w:val="00BA2EBE"/>
    <w:rsid w:val="00BA7E52"/>
    <w:rsid w:val="00BB0F28"/>
    <w:rsid w:val="00BB458A"/>
    <w:rsid w:val="00BC294E"/>
    <w:rsid w:val="00BC6B02"/>
    <w:rsid w:val="00BD00D3"/>
    <w:rsid w:val="00BD106C"/>
    <w:rsid w:val="00BD1659"/>
    <w:rsid w:val="00BD1EF2"/>
    <w:rsid w:val="00BD3AA9"/>
    <w:rsid w:val="00BD4A18"/>
    <w:rsid w:val="00BD6DB2"/>
    <w:rsid w:val="00BD7857"/>
    <w:rsid w:val="00BE11CF"/>
    <w:rsid w:val="00BE21AB"/>
    <w:rsid w:val="00BE390A"/>
    <w:rsid w:val="00BE55CB"/>
    <w:rsid w:val="00BF617A"/>
    <w:rsid w:val="00C0379D"/>
    <w:rsid w:val="00C03931"/>
    <w:rsid w:val="00C04894"/>
    <w:rsid w:val="00C05FE3"/>
    <w:rsid w:val="00C2136D"/>
    <w:rsid w:val="00C214EE"/>
    <w:rsid w:val="00C2314B"/>
    <w:rsid w:val="00C24971"/>
    <w:rsid w:val="00C24FDD"/>
    <w:rsid w:val="00C26BE5"/>
    <w:rsid w:val="00C26E4D"/>
    <w:rsid w:val="00C27909"/>
    <w:rsid w:val="00C27B03"/>
    <w:rsid w:val="00C314E1"/>
    <w:rsid w:val="00C34397"/>
    <w:rsid w:val="00C4095D"/>
    <w:rsid w:val="00C51D1E"/>
    <w:rsid w:val="00C51EF8"/>
    <w:rsid w:val="00C53F14"/>
    <w:rsid w:val="00C570A9"/>
    <w:rsid w:val="00C601D2"/>
    <w:rsid w:val="00C606FF"/>
    <w:rsid w:val="00C65613"/>
    <w:rsid w:val="00C65BCC"/>
    <w:rsid w:val="00C66970"/>
    <w:rsid w:val="00C8691C"/>
    <w:rsid w:val="00C967C3"/>
    <w:rsid w:val="00CA0DBE"/>
    <w:rsid w:val="00CA168A"/>
    <w:rsid w:val="00CA357E"/>
    <w:rsid w:val="00CA44F9"/>
    <w:rsid w:val="00CA4A69"/>
    <w:rsid w:val="00CB0819"/>
    <w:rsid w:val="00CC3E0C"/>
    <w:rsid w:val="00CC58D3"/>
    <w:rsid w:val="00CC784D"/>
    <w:rsid w:val="00CE2808"/>
    <w:rsid w:val="00CF5310"/>
    <w:rsid w:val="00CF6080"/>
    <w:rsid w:val="00D0061F"/>
    <w:rsid w:val="00D0337B"/>
    <w:rsid w:val="00D079B2"/>
    <w:rsid w:val="00D114E9"/>
    <w:rsid w:val="00D33199"/>
    <w:rsid w:val="00D429C6"/>
    <w:rsid w:val="00D47748"/>
    <w:rsid w:val="00D52BBC"/>
    <w:rsid w:val="00D54CC3"/>
    <w:rsid w:val="00D6041A"/>
    <w:rsid w:val="00D60916"/>
    <w:rsid w:val="00D61403"/>
    <w:rsid w:val="00D633EB"/>
    <w:rsid w:val="00D67DDA"/>
    <w:rsid w:val="00D77E71"/>
    <w:rsid w:val="00D82FF7"/>
    <w:rsid w:val="00D847FE"/>
    <w:rsid w:val="00D964EA"/>
    <w:rsid w:val="00D966D0"/>
    <w:rsid w:val="00DA0C59"/>
    <w:rsid w:val="00DA3991"/>
    <w:rsid w:val="00DB7E6C"/>
    <w:rsid w:val="00DD33F8"/>
    <w:rsid w:val="00DD5A29"/>
    <w:rsid w:val="00DD5D9D"/>
    <w:rsid w:val="00DE35CB"/>
    <w:rsid w:val="00DF21E9"/>
    <w:rsid w:val="00E00F14"/>
    <w:rsid w:val="00E06386"/>
    <w:rsid w:val="00E067A9"/>
    <w:rsid w:val="00E176B6"/>
    <w:rsid w:val="00E20D0D"/>
    <w:rsid w:val="00E23BDE"/>
    <w:rsid w:val="00E24EB4"/>
    <w:rsid w:val="00E320ED"/>
    <w:rsid w:val="00E33AFB"/>
    <w:rsid w:val="00E34218"/>
    <w:rsid w:val="00E46282"/>
    <w:rsid w:val="00E5216E"/>
    <w:rsid w:val="00E63BF7"/>
    <w:rsid w:val="00E640E3"/>
    <w:rsid w:val="00E6556D"/>
    <w:rsid w:val="00E72F95"/>
    <w:rsid w:val="00E82344"/>
    <w:rsid w:val="00E84C82"/>
    <w:rsid w:val="00E84D64"/>
    <w:rsid w:val="00E87408"/>
    <w:rsid w:val="00E914C4"/>
    <w:rsid w:val="00E934F5"/>
    <w:rsid w:val="00E96961"/>
    <w:rsid w:val="00E96DB4"/>
    <w:rsid w:val="00EA578E"/>
    <w:rsid w:val="00EA72EC"/>
    <w:rsid w:val="00EB11CB"/>
    <w:rsid w:val="00EB275A"/>
    <w:rsid w:val="00EB62B3"/>
    <w:rsid w:val="00EB786A"/>
    <w:rsid w:val="00EC0295"/>
    <w:rsid w:val="00EC1578"/>
    <w:rsid w:val="00EC1C72"/>
    <w:rsid w:val="00EC3CC9"/>
    <w:rsid w:val="00EC680A"/>
    <w:rsid w:val="00ED78F4"/>
    <w:rsid w:val="00EE2BED"/>
    <w:rsid w:val="00EE374B"/>
    <w:rsid w:val="00F11BB5"/>
    <w:rsid w:val="00F1417B"/>
    <w:rsid w:val="00F25CD5"/>
    <w:rsid w:val="00F305AB"/>
    <w:rsid w:val="00F34B99"/>
    <w:rsid w:val="00F40912"/>
    <w:rsid w:val="00F50AC1"/>
    <w:rsid w:val="00F50D5A"/>
    <w:rsid w:val="00F52DAB"/>
    <w:rsid w:val="00F543F0"/>
    <w:rsid w:val="00F5601B"/>
    <w:rsid w:val="00F749BF"/>
    <w:rsid w:val="00F81D29"/>
    <w:rsid w:val="00F83D92"/>
    <w:rsid w:val="00F846EB"/>
    <w:rsid w:val="00F91C4D"/>
    <w:rsid w:val="00F92FD9"/>
    <w:rsid w:val="00F939FF"/>
    <w:rsid w:val="00F94742"/>
    <w:rsid w:val="00FA6684"/>
    <w:rsid w:val="00FA731E"/>
    <w:rsid w:val="00FB2B38"/>
    <w:rsid w:val="00FC37EF"/>
    <w:rsid w:val="00FC6358"/>
    <w:rsid w:val="00FD23DF"/>
    <w:rsid w:val="00FD3161"/>
    <w:rsid w:val="00FD320D"/>
    <w:rsid w:val="00FE0FBE"/>
    <w:rsid w:val="00FE23DE"/>
    <w:rsid w:val="101E2114"/>
    <w:rsid w:val="16E5464C"/>
    <w:rsid w:val="1A636A71"/>
    <w:rsid w:val="1F3C2FBE"/>
    <w:rsid w:val="29377724"/>
    <w:rsid w:val="39F04442"/>
    <w:rsid w:val="40EA55F8"/>
    <w:rsid w:val="46B11DC7"/>
    <w:rsid w:val="50EF4AC8"/>
    <w:rsid w:val="528E7212"/>
    <w:rsid w:val="554975CD"/>
    <w:rsid w:val="672276E4"/>
    <w:rsid w:val="6C354F35"/>
    <w:rsid w:val="72970D4F"/>
    <w:rsid w:val="75BD59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semiHidden/>
    <w:qFormat/>
    <w:uiPriority w:val="0"/>
    <w:pPr>
      <w:tabs>
        <w:tab w:val="right" w:leader="dot" w:pos="9241"/>
      </w:tabs>
      <w:ind w:firstLine="500" w:firstLineChars="500"/>
      <w:jc w:val="left"/>
    </w:pPr>
    <w:rPr>
      <w:rFonts w:ascii="宋体"/>
      <w:szCs w:val="21"/>
    </w:rPr>
  </w:style>
  <w:style w:type="paragraph" w:styleId="3">
    <w:name w:val="index 8"/>
    <w:basedOn w:val="1"/>
    <w:next w:val="1"/>
    <w:qFormat/>
    <w:uiPriority w:val="0"/>
    <w:pPr>
      <w:ind w:left="1680" w:hanging="210"/>
      <w:jc w:val="left"/>
    </w:pPr>
    <w:rPr>
      <w:rFonts w:ascii="Calibri" w:hAnsi="Calibri"/>
      <w:sz w:val="20"/>
      <w:szCs w:val="20"/>
    </w:rPr>
  </w:style>
  <w:style w:type="paragraph" w:styleId="4">
    <w:name w:val="caption"/>
    <w:basedOn w:val="1"/>
    <w:next w:val="1"/>
    <w:qFormat/>
    <w:uiPriority w:val="0"/>
    <w:pPr>
      <w:spacing w:before="152" w:after="160"/>
    </w:pPr>
    <w:rPr>
      <w:rFonts w:ascii="Arial" w:hAnsi="Arial" w:eastAsia="黑体" w:cs="Arial"/>
      <w:sz w:val="20"/>
      <w:szCs w:val="20"/>
    </w:rPr>
  </w:style>
  <w:style w:type="paragraph" w:styleId="5">
    <w:name w:val="index 5"/>
    <w:basedOn w:val="1"/>
    <w:next w:val="1"/>
    <w:qFormat/>
    <w:uiPriority w:val="0"/>
    <w:pPr>
      <w:ind w:left="1050" w:hanging="210"/>
      <w:jc w:val="left"/>
    </w:pPr>
    <w:rPr>
      <w:rFonts w:ascii="Calibri" w:hAnsi="Calibri"/>
      <w:sz w:val="20"/>
      <w:szCs w:val="20"/>
    </w:rPr>
  </w:style>
  <w:style w:type="paragraph" w:styleId="6">
    <w:name w:val="Document Map"/>
    <w:basedOn w:val="1"/>
    <w:semiHidden/>
    <w:qFormat/>
    <w:uiPriority w:val="0"/>
    <w:pPr>
      <w:shd w:val="clear" w:color="auto" w:fill="000080"/>
    </w:pPr>
  </w:style>
  <w:style w:type="paragraph" w:styleId="7">
    <w:name w:val="annotation text"/>
    <w:basedOn w:val="1"/>
    <w:link w:val="144"/>
    <w:semiHidden/>
    <w:unhideWhenUsed/>
    <w:qFormat/>
    <w:uiPriority w:val="0"/>
    <w:pPr>
      <w:jc w:val="left"/>
    </w:pPr>
  </w:style>
  <w:style w:type="paragraph" w:styleId="8">
    <w:name w:val="index 6"/>
    <w:basedOn w:val="1"/>
    <w:next w:val="1"/>
    <w:qFormat/>
    <w:uiPriority w:val="0"/>
    <w:pPr>
      <w:ind w:left="1260" w:hanging="210"/>
      <w:jc w:val="left"/>
    </w:pPr>
    <w:rPr>
      <w:rFonts w:ascii="Calibri" w:hAnsi="Calibri"/>
      <w:sz w:val="20"/>
      <w:szCs w:val="20"/>
    </w:rPr>
  </w:style>
  <w:style w:type="paragraph" w:styleId="9">
    <w:name w:val="Body Text"/>
    <w:basedOn w:val="1"/>
    <w:qFormat/>
    <w:uiPriority w:val="0"/>
    <w:pPr>
      <w:spacing w:after="120"/>
    </w:p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semiHidden/>
    <w:qFormat/>
    <w:uiPriority w:val="0"/>
    <w:pPr>
      <w:tabs>
        <w:tab w:val="right" w:leader="dot" w:pos="9241"/>
      </w:tabs>
      <w:ind w:firstLine="100" w:firstLineChars="100"/>
      <w:jc w:val="left"/>
    </w:pPr>
    <w:rPr>
      <w:rFonts w:ascii="宋体"/>
      <w:szCs w:val="21"/>
    </w:rPr>
  </w:style>
  <w:style w:type="paragraph" w:styleId="13">
    <w:name w:val="Plain Text"/>
    <w:basedOn w:val="1"/>
    <w:uiPriority w:val="0"/>
    <w:rPr>
      <w:rFonts w:ascii="宋体" w:hAnsi="Courier New"/>
      <w:szCs w:val="20"/>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3"/>
    <w:semiHidden/>
    <w:unhideWhenUsed/>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semiHidden/>
    <w:uiPriority w:val="0"/>
    <w:pPr>
      <w:tabs>
        <w:tab w:val="right" w:leader="dot" w:pos="9242"/>
      </w:tabs>
      <w:spacing w:beforeLines="25" w:afterLines="25"/>
      <w:jc w:val="left"/>
    </w:pPr>
    <w:rPr>
      <w:rFonts w:ascii="宋体"/>
      <w:szCs w:val="21"/>
    </w:rPr>
  </w:style>
  <w:style w:type="paragraph" w:styleId="21">
    <w:name w:val="toc 4"/>
    <w:basedOn w:val="1"/>
    <w:next w:val="1"/>
    <w:semiHidden/>
    <w:qFormat/>
    <w:uiPriority w:val="0"/>
    <w:pPr>
      <w:tabs>
        <w:tab w:val="right" w:leader="dot" w:pos="9241"/>
      </w:tabs>
      <w:ind w:firstLine="200"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0"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semiHidden/>
    <w:qFormat/>
    <w:uiPriority w:val="0"/>
    <w:pPr>
      <w:tabs>
        <w:tab w:val="right" w:leader="dot" w:pos="9242"/>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index 2"/>
    <w:basedOn w:val="1"/>
    <w:next w:val="1"/>
    <w:qFormat/>
    <w:uiPriority w:val="0"/>
    <w:pPr>
      <w:ind w:left="420" w:hanging="210"/>
      <w:jc w:val="left"/>
    </w:pPr>
    <w:rPr>
      <w:rFonts w:ascii="Calibri" w:hAnsi="Calibri"/>
      <w:sz w:val="20"/>
      <w:szCs w:val="20"/>
    </w:rPr>
  </w:style>
  <w:style w:type="paragraph" w:styleId="32">
    <w:name w:val="annotation subject"/>
    <w:basedOn w:val="7"/>
    <w:next w:val="7"/>
    <w:link w:val="145"/>
    <w:semiHidden/>
    <w:unhideWhenUsed/>
    <w:qFormat/>
    <w:uiPriority w:val="0"/>
    <w:rPr>
      <w:b/>
      <w:bCs/>
    </w:rPr>
  </w:style>
  <w:style w:type="paragraph" w:styleId="33">
    <w:name w:val="Body Text First Indent"/>
    <w:basedOn w:val="9"/>
    <w:qFormat/>
    <w:uiPriority w:val="0"/>
    <w:pPr>
      <w:adjustRightInd w:val="0"/>
      <w:spacing w:after="0"/>
      <w:ind w:firstLine="420"/>
      <w:jc w:val="left"/>
      <w:textAlignment w:val="baseline"/>
    </w:pPr>
    <w:rPr>
      <w:kern w:val="0"/>
      <w:szCs w:val="20"/>
    </w:rPr>
  </w:style>
  <w:style w:type="table" w:styleId="35">
    <w:name w:val="Table Grid"/>
    <w:basedOn w:val="34"/>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basedOn w:val="36"/>
    <w:semiHidden/>
    <w:qFormat/>
    <w:uiPriority w:val="0"/>
    <w:rPr>
      <w:vertAlign w:val="superscript"/>
    </w:rPr>
  </w:style>
  <w:style w:type="character" w:styleId="38">
    <w:name w:val="page number"/>
    <w:basedOn w:val="36"/>
    <w:qFormat/>
    <w:uiPriority w:val="0"/>
    <w:rPr>
      <w:rFonts w:ascii="Times New Roman" w:hAnsi="Times New Roman" w:eastAsia="宋体"/>
      <w:sz w:val="18"/>
    </w:rPr>
  </w:style>
  <w:style w:type="character" w:styleId="39">
    <w:name w:val="FollowedHyperlink"/>
    <w:basedOn w:val="36"/>
    <w:qFormat/>
    <w:uiPriority w:val="0"/>
    <w:rPr>
      <w:color w:val="800080"/>
      <w:u w:val="single"/>
    </w:rPr>
  </w:style>
  <w:style w:type="character" w:styleId="40">
    <w:name w:val="Hyperlink"/>
    <w:basedOn w:val="36"/>
    <w:qFormat/>
    <w:uiPriority w:val="0"/>
    <w:rPr>
      <w:color w:val="0000FF"/>
      <w:spacing w:val="0"/>
      <w:w w:val="100"/>
      <w:szCs w:val="21"/>
      <w:u w:val="single"/>
    </w:rPr>
  </w:style>
  <w:style w:type="character" w:styleId="41">
    <w:name w:val="annotation reference"/>
    <w:basedOn w:val="36"/>
    <w:semiHidden/>
    <w:unhideWhenUsed/>
    <w:qFormat/>
    <w:uiPriority w:val="0"/>
    <w:rPr>
      <w:sz w:val="21"/>
      <w:szCs w:val="21"/>
    </w:rPr>
  </w:style>
  <w:style w:type="character" w:styleId="42">
    <w:name w:val="footnote reference"/>
    <w:basedOn w:val="36"/>
    <w:semiHidden/>
    <w:qFormat/>
    <w:uiPriority w:val="0"/>
    <w:rPr>
      <w:vertAlign w:val="superscript"/>
    </w:rPr>
  </w:style>
  <w:style w:type="character" w:customStyle="1" w:styleId="43">
    <w:name w:val="段 Char"/>
    <w:basedOn w:val="36"/>
    <w:link w:val="24"/>
    <w:uiPriority w:val="0"/>
    <w:rPr>
      <w:rFonts w:ascii="宋体"/>
      <w:sz w:val="21"/>
      <w:lang w:val="en-US" w:eastAsia="zh-CN" w:bidi="ar-SA"/>
    </w:rPr>
  </w:style>
  <w:style w:type="paragraph" w:customStyle="1" w:styleId="44">
    <w:name w:val="一级条标题"/>
    <w:next w:val="24"/>
    <w:link w:val="139"/>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4"/>
    <w:link w:val="141"/>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4"/>
    <w:link w:val="142"/>
    <w:qFormat/>
    <w:uiPriority w:val="0"/>
    <w:pPr>
      <w:numPr>
        <w:ilvl w:val="3"/>
      </w:numPr>
      <w:outlineLvl w:val="4"/>
    </w:pPr>
  </w:style>
  <w:style w:type="paragraph" w:customStyle="1" w:styleId="54">
    <w:name w:val="示例"/>
    <w:next w:val="55"/>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57">
    <w:name w:val="四级条标题"/>
    <w:basedOn w:val="53"/>
    <w:next w:val="24"/>
    <w:qFormat/>
    <w:uiPriority w:val="0"/>
    <w:pPr>
      <w:numPr>
        <w:ilvl w:val="4"/>
      </w:numPr>
      <w:outlineLvl w:val="5"/>
    </w:pPr>
  </w:style>
  <w:style w:type="paragraph" w:customStyle="1" w:styleId="58">
    <w:name w:val="五级条标题"/>
    <w:basedOn w:val="57"/>
    <w:next w:val="24"/>
    <w:qFormat/>
    <w:uiPriority w:val="0"/>
    <w:pPr>
      <w:numPr>
        <w:ilvl w:val="5"/>
      </w:numPr>
      <w:outlineLvl w:val="6"/>
    </w:pPr>
  </w:style>
  <w:style w:type="paragraph" w:customStyle="1" w:styleId="59">
    <w:name w:val="注："/>
    <w:next w:val="24"/>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4">
    <w:name w:val="示例×："/>
    <w:basedOn w:val="47"/>
    <w:qFormat/>
    <w:uiPriority w:val="0"/>
    <w:pPr>
      <w:numPr>
        <w:numId w:val="0"/>
      </w:numPr>
      <w:spacing w:beforeLines="0" w:afterLines="0"/>
      <w:ind w:firstLine="363"/>
      <w:outlineLvl w:val="9"/>
    </w:pPr>
    <w:rPr>
      <w:rFonts w:ascii="宋体" w:eastAsia="宋体"/>
      <w:sz w:val="18"/>
      <w:szCs w:val="18"/>
    </w:rPr>
  </w:style>
  <w:style w:type="paragraph" w:customStyle="1" w:styleId="65">
    <w:name w:val="二级无"/>
    <w:basedOn w:val="48"/>
    <w:qFormat/>
    <w:uiPriority w:val="0"/>
    <w:pPr>
      <w:spacing w:beforeLines="0" w:afterLines="0"/>
    </w:pPr>
    <w:rPr>
      <w:rFonts w:ascii="宋体" w:eastAsia="宋体"/>
    </w:rPr>
  </w:style>
  <w:style w:type="paragraph" w:customStyle="1" w:styleId="66">
    <w:name w:val="注：（正文）"/>
    <w:basedOn w:val="59"/>
    <w:next w:val="24"/>
    <w:qFormat/>
    <w:uiPriority w:val="0"/>
  </w:style>
  <w:style w:type="paragraph" w:customStyle="1" w:styleId="67">
    <w:name w:val="注×：（正文）"/>
    <w:qFormat/>
    <w:uiPriority w:val="0"/>
    <w:pPr>
      <w:numPr>
        <w:ilvl w:val="0"/>
        <w:numId w:val="5"/>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basedOn w:val="36"/>
    <w:qFormat/>
    <w:uiPriority w:val="0"/>
    <w:rPr>
      <w:rFonts w:ascii="黑体" w:eastAsia="黑体"/>
      <w:spacing w:val="85"/>
      <w:w w:val="100"/>
      <w:position w:val="3"/>
      <w:sz w:val="28"/>
      <w:szCs w:val="28"/>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qFormat/>
    <w:uiPriority w:val="0"/>
    <w:pPr>
      <w:keepNext/>
      <w:widowControl/>
      <w:numPr>
        <w:ilvl w:val="0"/>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qFormat/>
    <w:uiPriority w:val="0"/>
    <w:pPr>
      <w:ind w:firstLine="0" w:firstLineChars="0"/>
      <w:jc w:val="center"/>
    </w:pPr>
    <w:rPr>
      <w:rFonts w:ascii="黑体" w:eastAsia="黑体"/>
    </w:rPr>
  </w:style>
  <w:style w:type="paragraph" w:customStyle="1" w:styleId="88">
    <w:name w:val="附录表标号"/>
    <w:basedOn w:val="1"/>
    <w:next w:val="24"/>
    <w:qFormat/>
    <w:uiPriority w:val="0"/>
    <w:pPr>
      <w:numPr>
        <w:ilvl w:val="0"/>
        <w:numId w:val="7"/>
      </w:numPr>
      <w:tabs>
        <w:tab w:val="clear" w:pos="0"/>
      </w:tabs>
      <w:spacing w:line="14" w:lineRule="exact"/>
      <w:ind w:left="811" w:hanging="448"/>
      <w:jc w:val="center"/>
      <w:outlineLvl w:val="0"/>
    </w:pPr>
    <w:rPr>
      <w:color w:val="FFFFFF"/>
    </w:rPr>
  </w:style>
  <w:style w:type="paragraph" w:customStyle="1" w:styleId="89">
    <w:name w:val="附录表标题"/>
    <w:basedOn w:val="1"/>
    <w:next w:val="24"/>
    <w:qFormat/>
    <w:uiPriority w:val="0"/>
    <w:pPr>
      <w:numPr>
        <w:ilvl w:val="1"/>
        <w:numId w:val="7"/>
      </w:numPr>
      <w:tabs>
        <w:tab w:val="left" w:pos="180"/>
      </w:tabs>
      <w:spacing w:beforeLines="50" w:afterLines="50"/>
      <w:ind w:left="0" w:firstLine="0"/>
      <w:jc w:val="center"/>
    </w:pPr>
    <w:rPr>
      <w:rFonts w:ascii="黑体" w:eastAsia="黑体"/>
      <w:szCs w:val="21"/>
    </w:rPr>
  </w:style>
  <w:style w:type="paragraph" w:customStyle="1" w:styleId="90">
    <w:name w:val="附录二级条标题"/>
    <w:basedOn w:val="1"/>
    <w:next w:val="24"/>
    <w:qFormat/>
    <w:uiPriority w:val="0"/>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Lines="0" w:afterLines="0"/>
    </w:pPr>
    <w:rPr>
      <w:rFonts w:ascii="宋体" w:eastAsia="宋体"/>
      <w:szCs w:val="21"/>
    </w:rPr>
  </w:style>
  <w:style w:type="paragraph" w:customStyle="1" w:styleId="92">
    <w:name w:val="附录公式"/>
    <w:basedOn w:val="24"/>
    <w:next w:val="24"/>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qFormat/>
    <w:uiPriority w:val="0"/>
    <w:pPr>
      <w:numPr>
        <w:ilvl w:val="4"/>
      </w:numPr>
      <w:outlineLvl w:val="4"/>
    </w:pPr>
  </w:style>
  <w:style w:type="paragraph" w:customStyle="1" w:styleId="96">
    <w:name w:val="附录三级无"/>
    <w:basedOn w:val="95"/>
    <w:qFormat/>
    <w:uiPriority w:val="0"/>
    <w:pPr>
      <w:tabs>
        <w:tab w:val="clear" w:pos="360"/>
      </w:tabs>
      <w:spacing w:beforeLines="0" w:afterLines="0"/>
    </w:pPr>
    <w:rPr>
      <w:rFonts w:ascii="宋体" w:eastAsia="宋体"/>
      <w:szCs w:val="21"/>
    </w:rPr>
  </w:style>
  <w:style w:type="paragraph" w:customStyle="1" w:styleId="97">
    <w:name w:val="附录数字编号列项（二级）"/>
    <w:qFormat/>
    <w:uiPriority w:val="0"/>
    <w:pPr>
      <w:numPr>
        <w:ilvl w:val="1"/>
        <w:numId w:val="8"/>
      </w:numPr>
    </w:pPr>
    <w:rPr>
      <w:rFonts w:ascii="宋体" w:hAnsi="Times New Roman" w:eastAsia="宋体" w:cs="Times New Roman"/>
      <w:sz w:val="21"/>
      <w:lang w:val="en-US" w:eastAsia="zh-CN" w:bidi="ar-SA"/>
    </w:rPr>
  </w:style>
  <w:style w:type="paragraph" w:customStyle="1" w:styleId="98">
    <w:name w:val="附录四级条标题"/>
    <w:basedOn w:val="95"/>
    <w:next w:val="24"/>
    <w:qFormat/>
    <w:uiPriority w:val="0"/>
    <w:pPr>
      <w:numPr>
        <w:ilvl w:val="5"/>
      </w:numPr>
      <w:outlineLvl w:val="5"/>
    </w:pPr>
  </w:style>
  <w:style w:type="paragraph" w:customStyle="1" w:styleId="99">
    <w:name w:val="附录四级无"/>
    <w:basedOn w:val="98"/>
    <w:qFormat/>
    <w:uiPriority w:val="0"/>
    <w:pPr>
      <w:tabs>
        <w:tab w:val="clear" w:pos="360"/>
      </w:tabs>
      <w:spacing w:beforeLines="0" w:afterLines="0"/>
    </w:pPr>
    <w:rPr>
      <w:rFonts w:ascii="宋体" w:eastAsia="宋体"/>
      <w:szCs w:val="21"/>
    </w:rPr>
  </w:style>
  <w:style w:type="paragraph" w:customStyle="1" w:styleId="100">
    <w:name w:val="附录图标号"/>
    <w:basedOn w:val="1"/>
    <w:qFormat/>
    <w:uiPriority w:val="0"/>
    <w:pPr>
      <w:keepNext/>
      <w:pageBreakBefore/>
      <w:widowControl/>
      <w:numPr>
        <w:ilvl w:val="0"/>
        <w:numId w:val="9"/>
      </w:numPr>
      <w:spacing w:line="14" w:lineRule="exact"/>
      <w:ind w:left="0" w:firstLine="363"/>
      <w:jc w:val="center"/>
      <w:outlineLvl w:val="0"/>
    </w:pPr>
    <w:rPr>
      <w:color w:val="FFFFFF"/>
    </w:rPr>
  </w:style>
  <w:style w:type="paragraph" w:customStyle="1" w:styleId="101">
    <w:name w:val="附录图标题"/>
    <w:basedOn w:val="1"/>
    <w:next w:val="24"/>
    <w:qFormat/>
    <w:uiPriority w:val="0"/>
    <w:pPr>
      <w:numPr>
        <w:ilvl w:val="1"/>
        <w:numId w:val="9"/>
      </w:numPr>
      <w:tabs>
        <w:tab w:val="left" w:pos="363"/>
      </w:tabs>
      <w:spacing w:beforeLines="50" w:afterLines="50"/>
      <w:ind w:left="0" w:firstLine="0"/>
      <w:jc w:val="center"/>
    </w:pPr>
    <w:rPr>
      <w:rFonts w:ascii="黑体" w:eastAsia="黑体"/>
      <w:szCs w:val="21"/>
    </w:rPr>
  </w:style>
  <w:style w:type="paragraph" w:customStyle="1" w:styleId="102">
    <w:name w:val="附录五级条标题"/>
    <w:basedOn w:val="98"/>
    <w:next w:val="24"/>
    <w:qFormat/>
    <w:uiPriority w:val="0"/>
    <w:pPr>
      <w:numPr>
        <w:ilvl w:val="6"/>
      </w:numPr>
      <w:outlineLvl w:val="6"/>
    </w:pPr>
  </w:style>
  <w:style w:type="paragraph" w:customStyle="1" w:styleId="103">
    <w:name w:val="附录五级无"/>
    <w:basedOn w:val="102"/>
    <w:qFormat/>
    <w:uiPriority w:val="0"/>
    <w:pPr>
      <w:tabs>
        <w:tab w:val="clear" w:pos="360"/>
      </w:tabs>
      <w:spacing w:beforeLines="0" w:afterLines="0"/>
    </w:pPr>
    <w:rPr>
      <w:rFonts w:ascii="宋体" w:eastAsia="宋体"/>
      <w:szCs w:val="21"/>
    </w:rPr>
  </w:style>
  <w:style w:type="paragraph" w:customStyle="1" w:styleId="104">
    <w:name w:val="附录章标题"/>
    <w:next w:val="24"/>
    <w:qFormat/>
    <w:uiPriority w:val="0"/>
    <w:pPr>
      <w:numPr>
        <w:ilvl w:val="1"/>
        <w:numId w:val="6"/>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qFormat/>
    <w:uiPriority w:val="0"/>
    <w:pPr>
      <w:numPr>
        <w:ilvl w:val="2"/>
      </w:numPr>
      <w:autoSpaceDN w:val="0"/>
      <w:spacing w:beforeLines="50" w:afterLines="50"/>
      <w:outlineLvl w:val="2"/>
    </w:pPr>
  </w:style>
  <w:style w:type="paragraph" w:customStyle="1" w:styleId="106">
    <w:name w:val="附录一级无"/>
    <w:basedOn w:val="105"/>
    <w:qFormat/>
    <w:uiPriority w:val="0"/>
    <w:pPr>
      <w:tabs>
        <w:tab w:val="clear" w:pos="360"/>
      </w:tabs>
      <w:spacing w:beforeLines="0" w:afterLines="0"/>
    </w:pPr>
    <w:rPr>
      <w:rFonts w:ascii="宋体" w:eastAsia="宋体"/>
      <w:szCs w:val="21"/>
    </w:rPr>
  </w:style>
  <w:style w:type="paragraph" w:customStyle="1" w:styleId="107">
    <w:name w:val="附录字母编号列项（一级）"/>
    <w:qFormat/>
    <w:uiPriority w:val="0"/>
    <w:pPr>
      <w:numPr>
        <w:ilvl w:val="0"/>
        <w:numId w:val="8"/>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Lines="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4"/>
    <w:next w:val="24"/>
    <w:qFormat/>
    <w:uiPriority w:val="0"/>
    <w:pPr>
      <w:ind w:firstLine="360"/>
    </w:pPr>
    <w:rPr>
      <w:sz w:val="18"/>
    </w:rPr>
  </w:style>
  <w:style w:type="paragraph" w:customStyle="1" w:styleId="118">
    <w:name w:val="首示例"/>
    <w:next w:val="24"/>
    <w:link w:val="119"/>
    <w:qFormat/>
    <w:uiPriority w:val="0"/>
    <w:pPr>
      <w:tabs>
        <w:tab w:val="left" w:pos="360"/>
      </w:tabs>
    </w:pPr>
    <w:rPr>
      <w:rFonts w:ascii="宋体" w:hAnsi="宋体" w:eastAsia="宋体" w:cs="Times New Roman"/>
      <w:kern w:val="2"/>
      <w:sz w:val="18"/>
      <w:szCs w:val="18"/>
      <w:lang w:val="en-US" w:eastAsia="zh-CN" w:bidi="ar-SA"/>
    </w:rPr>
  </w:style>
  <w:style w:type="character" w:customStyle="1" w:styleId="119">
    <w:name w:val="首示例 Char"/>
    <w:basedOn w:val="36"/>
    <w:link w:val="118"/>
    <w:qFormat/>
    <w:uiPriority w:val="0"/>
    <w:rPr>
      <w:rFonts w:ascii="宋体" w:hAnsi="宋体"/>
      <w:kern w:val="2"/>
      <w:sz w:val="18"/>
      <w:szCs w:val="18"/>
      <w:lang w:val="en-US" w:eastAsia="zh-CN" w:bidi="ar-SA"/>
    </w:rPr>
  </w:style>
  <w:style w:type="paragraph" w:customStyle="1" w:styleId="120">
    <w:name w:val="四级无"/>
    <w:basedOn w:val="57"/>
    <w:qFormat/>
    <w:uiPriority w:val="0"/>
    <w:pPr>
      <w:spacing w:beforeLines="0" w:afterLines="0"/>
    </w:pPr>
    <w:rPr>
      <w:rFonts w:ascii="宋体" w:eastAsia="宋体"/>
    </w:rPr>
  </w:style>
  <w:style w:type="paragraph" w:customStyle="1" w:styleId="121">
    <w:name w:val="条文脚注"/>
    <w:basedOn w:val="25"/>
    <w:qFormat/>
    <w:uiPriority w:val="0"/>
    <w:pPr>
      <w:numPr>
        <w:numId w:val="0"/>
      </w:numPr>
      <w:jc w:val="both"/>
    </w:pPr>
  </w:style>
  <w:style w:type="paragraph" w:customStyle="1" w:styleId="122">
    <w:name w:val="图标脚注说明"/>
    <w:basedOn w:val="24"/>
    <w:qFormat/>
    <w:uiPriority w:val="0"/>
    <w:pPr>
      <w:ind w:left="840" w:hanging="420" w:firstLineChars="0"/>
    </w:pPr>
    <w:rPr>
      <w:sz w:val="18"/>
      <w:szCs w:val="18"/>
    </w:rPr>
  </w:style>
  <w:style w:type="paragraph" w:customStyle="1" w:styleId="123">
    <w:name w:val="图表脚注说明"/>
    <w:basedOn w:val="1"/>
    <w:qFormat/>
    <w:uiPriority w:val="0"/>
    <w:pPr>
      <w:ind w:left="544" w:hanging="181"/>
    </w:pPr>
    <w:rPr>
      <w:rFonts w:ascii="宋体"/>
      <w:sz w:val="18"/>
      <w:szCs w:val="18"/>
    </w:rPr>
  </w:style>
  <w:style w:type="paragraph" w:customStyle="1" w:styleId="124">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Lines="0" w:afterLines="0"/>
    </w:pPr>
    <w:rPr>
      <w:rFonts w:ascii="宋体" w:eastAsia="宋体"/>
    </w:rPr>
  </w:style>
  <w:style w:type="paragraph" w:customStyle="1" w:styleId="127">
    <w:name w:val="一级无"/>
    <w:basedOn w:val="44"/>
    <w:qFormat/>
    <w:uiPriority w:val="0"/>
    <w:pPr>
      <w:spacing w:beforeLines="0" w:afterLines="0"/>
    </w:pPr>
    <w:rPr>
      <w:rFonts w:ascii="宋体" w:eastAsia="宋体"/>
    </w:rPr>
  </w:style>
  <w:style w:type="paragraph" w:customStyle="1" w:styleId="128">
    <w:name w:val="正文表标题"/>
    <w:next w:val="24"/>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一级条标题 Char"/>
    <w:basedOn w:val="36"/>
    <w:link w:val="44"/>
    <w:qFormat/>
    <w:uiPriority w:val="0"/>
    <w:rPr>
      <w:rFonts w:ascii="黑体" w:eastAsia="黑体"/>
      <w:sz w:val="21"/>
      <w:szCs w:val="21"/>
    </w:rPr>
  </w:style>
  <w:style w:type="paragraph" w:styleId="140">
    <w:name w:val="List Paragraph"/>
    <w:basedOn w:val="1"/>
    <w:qFormat/>
    <w:uiPriority w:val="34"/>
    <w:pPr>
      <w:ind w:firstLine="420" w:firstLineChars="200"/>
    </w:pPr>
  </w:style>
  <w:style w:type="character" w:customStyle="1" w:styleId="141">
    <w:name w:val="二级条标题 Char"/>
    <w:basedOn w:val="139"/>
    <w:link w:val="48"/>
    <w:qFormat/>
    <w:uiPriority w:val="0"/>
    <w:rPr>
      <w:rFonts w:ascii="黑体" w:eastAsia="黑体"/>
      <w:sz w:val="21"/>
      <w:szCs w:val="21"/>
    </w:rPr>
  </w:style>
  <w:style w:type="character" w:customStyle="1" w:styleId="142">
    <w:name w:val="三级条标题 Char"/>
    <w:basedOn w:val="141"/>
    <w:link w:val="53"/>
    <w:qFormat/>
    <w:uiPriority w:val="0"/>
    <w:rPr>
      <w:rFonts w:ascii="黑体" w:eastAsia="黑体"/>
      <w:sz w:val="21"/>
      <w:szCs w:val="21"/>
    </w:rPr>
  </w:style>
  <w:style w:type="character" w:customStyle="1" w:styleId="143">
    <w:name w:val="批注框文本 字符"/>
    <w:basedOn w:val="36"/>
    <w:link w:val="17"/>
    <w:semiHidden/>
    <w:qFormat/>
    <w:uiPriority w:val="0"/>
    <w:rPr>
      <w:kern w:val="2"/>
      <w:sz w:val="18"/>
      <w:szCs w:val="18"/>
    </w:rPr>
  </w:style>
  <w:style w:type="character" w:customStyle="1" w:styleId="144">
    <w:name w:val="批注文字 字符"/>
    <w:basedOn w:val="36"/>
    <w:link w:val="7"/>
    <w:semiHidden/>
    <w:qFormat/>
    <w:uiPriority w:val="0"/>
    <w:rPr>
      <w:kern w:val="2"/>
      <w:sz w:val="21"/>
      <w:szCs w:val="24"/>
    </w:rPr>
  </w:style>
  <w:style w:type="character" w:customStyle="1" w:styleId="145">
    <w:name w:val="批注主题 字符"/>
    <w:basedOn w:val="144"/>
    <w:link w:val="32"/>
    <w:semiHidden/>
    <w:qFormat/>
    <w:uiPriority w:val="0"/>
    <w:rPr>
      <w:b/>
      <w:bCs/>
      <w:kern w:val="2"/>
      <w:sz w:val="21"/>
      <w:szCs w:val="24"/>
    </w:rPr>
  </w:style>
  <w:style w:type="character" w:customStyle="1" w:styleId="146">
    <w:name w:val="样式 三级条标题 + 宋体 Char"/>
    <w:basedOn w:val="142"/>
    <w:link w:val="147"/>
    <w:qFormat/>
    <w:uiPriority w:val="0"/>
    <w:rPr>
      <w:rFonts w:ascii="宋体" w:hAnsi="宋体" w:eastAsia="黑体"/>
      <w:sz w:val="21"/>
      <w:szCs w:val="21"/>
    </w:rPr>
  </w:style>
  <w:style w:type="paragraph" w:customStyle="1" w:styleId="147">
    <w:name w:val="样式 三级条标题 + 宋体"/>
    <w:basedOn w:val="53"/>
    <w:link w:val="146"/>
    <w:qFormat/>
    <w:uiPriority w:val="0"/>
    <w:rPr>
      <w:rFonts w:ascii="宋体" w:hAnsi="宋体"/>
    </w:rPr>
  </w:style>
  <w:style w:type="character" w:customStyle="1" w:styleId="148">
    <w:name w:val="样式 三级条标题 + (符号) 宋体 Char"/>
    <w:basedOn w:val="142"/>
    <w:link w:val="149"/>
    <w:qFormat/>
    <w:uiPriority w:val="0"/>
    <w:rPr>
      <w:rFonts w:ascii="黑体" w:eastAsia="宋体"/>
      <w:sz w:val="21"/>
      <w:szCs w:val="21"/>
    </w:rPr>
  </w:style>
  <w:style w:type="paragraph" w:customStyle="1" w:styleId="149">
    <w:name w:val="样式 三级条标题 + (符号) 宋体"/>
    <w:basedOn w:val="53"/>
    <w:link w:val="148"/>
    <w:qFormat/>
    <w:uiPriority w:val="0"/>
    <w:rPr>
      <w:rFonts w:eastAsia="宋体"/>
    </w:rPr>
  </w:style>
  <w:style w:type="paragraph" w:customStyle="1" w:styleId="150">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51">
    <w:name w:val="标准文件_页脚奇数页"/>
    <w:qFormat/>
    <w:uiPriority w:val="0"/>
    <w:pPr>
      <w:ind w:right="227"/>
      <w:jc w:val="right"/>
    </w:pPr>
    <w:rPr>
      <w:rFonts w:ascii="宋体" w:hAnsi="Times New Roman" w:eastAsia="宋体" w:cs="Times New Roman"/>
      <w:sz w:val="18"/>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microsoft.com/office/2006/relationships/keyMapCustomizations" Target="customizations.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B74B01-1572-403B-B153-1E607802B7DF}">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15</Pages>
  <Words>7902</Words>
  <Characters>9207</Characters>
  <Lines>84</Lines>
  <Paragraphs>23</Paragraphs>
  <TotalTime>6</TotalTime>
  <ScaleCrop>false</ScaleCrop>
  <LinksUpToDate>false</LinksUpToDate>
  <CharactersWithSpaces>9839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2024-08-08T15:56:00Z</dcterms:created>
  <dc:creator>CNIS</dc:creator>
  <cp:lastModifiedBy>陆思伟</cp:lastModifiedBy>
  <dcterms:modified xsi:type="dcterms:W3CDTF">2025-04-30T07:49:57Z</dcterms:modified>
  <dc:title>标准名称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DC1F1AD52A9041E9B13BF14891E57FE7_13</vt:lpwstr>
  </property>
  <property fmtid="{D5CDD505-2E9C-101B-9397-08002B2CF9AE}" pid="4" name="KSOTemplateDocerSaveRecord">
    <vt:lpwstr>eyJoZGlkIjoiYWNlMGQzOGFhOWYyMmZmNTg4MWNmMjZiMmY0NzI2YTUiLCJ1c2VySWQiOiI0MzE0Njc3NDYifQ==</vt:lpwstr>
  </property>
</Properties>
</file>