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72"/>
          <w:szCs w:val="72"/>
        </w:rPr>
      </w:pPr>
    </w:p>
    <w:p>
      <w:pPr>
        <w:ind w:left="720"/>
        <w:contextualSpacing/>
        <w:rPr>
          <w:rFonts w:ascii="Calibri" w:hAnsi="Calibri"/>
          <w:szCs w:val="22"/>
        </w:rPr>
      </w:pPr>
    </w:p>
    <w:p>
      <w:pPr>
        <w:spacing w:line="360" w:lineRule="auto"/>
        <w:jc w:val="center"/>
        <w:rPr>
          <w:b/>
          <w:sz w:val="44"/>
          <w:szCs w:val="44"/>
        </w:rPr>
      </w:pPr>
      <w:r>
        <w:rPr>
          <w:b/>
          <w:sz w:val="44"/>
          <w:szCs w:val="44"/>
        </w:rPr>
        <w:t>《</w:t>
      </w:r>
      <w:r>
        <w:rPr>
          <w:rFonts w:hint="eastAsia"/>
          <w:b/>
          <w:sz w:val="44"/>
          <w:szCs w:val="44"/>
        </w:rPr>
        <w:t>钠离子电池用</w:t>
      </w:r>
      <w:r>
        <w:rPr>
          <w:rFonts w:hint="eastAsia"/>
          <w:b/>
          <w:bCs/>
          <w:sz w:val="44"/>
          <w:szCs w:val="44"/>
          <w:lang w:val="en-US" w:eastAsia="zh-CN"/>
        </w:rPr>
        <w:t>镍锰钛酸钠</w:t>
      </w:r>
      <w:r>
        <w:rPr>
          <w:b/>
          <w:sz w:val="44"/>
          <w:szCs w:val="44"/>
        </w:rPr>
        <w:t>》</w:t>
      </w:r>
    </w:p>
    <w:p>
      <w:pPr>
        <w:contextualSpacing/>
        <w:jc w:val="center"/>
        <w:rPr>
          <w:szCs w:val="22"/>
        </w:rPr>
      </w:pPr>
      <w:r>
        <w:rPr>
          <w:rFonts w:hint="eastAsia"/>
          <w:b/>
          <w:sz w:val="44"/>
          <w:szCs w:val="44"/>
          <w:lang w:val="en-US" w:eastAsia="zh-CN"/>
        </w:rPr>
        <w:t>化工行业</w:t>
      </w:r>
      <w:r>
        <w:rPr>
          <w:b/>
          <w:sz w:val="44"/>
          <w:szCs w:val="44"/>
        </w:rPr>
        <w:t>标准</w:t>
      </w:r>
    </w:p>
    <w:p>
      <w:pPr>
        <w:ind w:left="720"/>
        <w:contextualSpacing/>
        <w:jc w:val="center"/>
        <w:rPr>
          <w:szCs w:val="22"/>
        </w:rPr>
      </w:pPr>
    </w:p>
    <w:p>
      <w:pPr>
        <w:spacing w:line="360" w:lineRule="auto"/>
        <w:jc w:val="center"/>
        <w:rPr>
          <w:b/>
          <w:sz w:val="36"/>
          <w:szCs w:val="36"/>
        </w:rPr>
      </w:pPr>
      <w:r>
        <w:rPr>
          <w:b/>
          <w:sz w:val="36"/>
          <w:szCs w:val="36"/>
        </w:rPr>
        <w:t>编制说明</w:t>
      </w:r>
    </w:p>
    <w:p>
      <w:pPr>
        <w:jc w:val="center"/>
        <w:rPr>
          <w:szCs w:val="22"/>
        </w:rPr>
      </w:pPr>
    </w:p>
    <w:p>
      <w:pPr>
        <w:ind w:left="720"/>
        <w:contextualSpacing/>
        <w:jc w:val="center"/>
        <w:rPr>
          <w:szCs w:val="22"/>
        </w:rPr>
      </w:pPr>
    </w:p>
    <w:p>
      <w:pPr>
        <w:jc w:val="center"/>
        <w:rPr>
          <w:b/>
          <w:sz w:val="32"/>
          <w:szCs w:val="32"/>
        </w:rPr>
      </w:pPr>
      <w:r>
        <w:rPr>
          <w:b/>
          <w:sz w:val="32"/>
          <w:szCs w:val="32"/>
        </w:rPr>
        <w:t>（</w:t>
      </w:r>
      <w:r>
        <w:rPr>
          <w:rFonts w:hint="eastAsia"/>
          <w:b/>
          <w:sz w:val="32"/>
          <w:szCs w:val="32"/>
          <w:lang w:val="en-US" w:eastAsia="zh-CN"/>
        </w:rPr>
        <w:t>征求意见</w:t>
      </w:r>
      <w:r>
        <w:rPr>
          <w:b/>
          <w:sz w:val="32"/>
          <w:szCs w:val="32"/>
        </w:rPr>
        <w:t>稿）</w:t>
      </w:r>
    </w:p>
    <w:p>
      <w:pPr>
        <w:jc w:val="center"/>
        <w:rPr>
          <w:szCs w:val="22"/>
        </w:rPr>
      </w:pPr>
    </w:p>
    <w:p>
      <w:pPr>
        <w:jc w:val="center"/>
        <w:rPr>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rPr>
          <w:rFonts w:ascii="Calibri" w:hAnsi="Calibri"/>
          <w:szCs w:val="22"/>
        </w:rPr>
      </w:pPr>
    </w:p>
    <w:p>
      <w:pPr>
        <w:ind w:left="720"/>
        <w:contextualSpacing/>
        <w:jc w:val="center"/>
        <w:rPr>
          <w:szCs w:val="22"/>
        </w:rPr>
      </w:pPr>
    </w:p>
    <w:p>
      <w:pPr>
        <w:jc w:val="center"/>
        <w:rPr>
          <w:szCs w:val="22"/>
        </w:rPr>
      </w:pPr>
    </w:p>
    <w:p>
      <w:pPr>
        <w:spacing w:line="360" w:lineRule="auto"/>
        <w:jc w:val="center"/>
        <w:rPr>
          <w:rFonts w:ascii="Calibri" w:hAnsi="Calibri"/>
          <w:b/>
          <w:sz w:val="28"/>
          <w:szCs w:val="28"/>
        </w:rPr>
      </w:pPr>
      <w:r>
        <w:rPr>
          <w:rFonts w:ascii="Calibri" w:hAnsi="Calibri"/>
          <w:b/>
          <w:sz w:val="28"/>
          <w:szCs w:val="28"/>
        </w:rPr>
        <w:t>《</w:t>
      </w:r>
      <w:r>
        <w:rPr>
          <w:rFonts w:hint="eastAsia" w:ascii="Calibri" w:hAnsi="Calibri"/>
          <w:b/>
          <w:sz w:val="28"/>
          <w:szCs w:val="28"/>
        </w:rPr>
        <w:t>钠离子电池用镍锰</w:t>
      </w:r>
      <w:r>
        <w:rPr>
          <w:rFonts w:hint="eastAsia" w:ascii="Calibri" w:hAnsi="Calibri"/>
          <w:b/>
          <w:sz w:val="28"/>
          <w:szCs w:val="28"/>
          <w:lang w:val="en-US" w:eastAsia="zh-CN"/>
        </w:rPr>
        <w:t>钛</w:t>
      </w:r>
      <w:r>
        <w:rPr>
          <w:rFonts w:hint="eastAsia" w:ascii="Calibri" w:hAnsi="Calibri"/>
          <w:b/>
          <w:sz w:val="28"/>
          <w:szCs w:val="28"/>
        </w:rPr>
        <w:t>酸钠</w:t>
      </w:r>
      <w:r>
        <w:rPr>
          <w:rFonts w:ascii="Calibri" w:hAnsi="Calibri"/>
          <w:b/>
          <w:sz w:val="28"/>
          <w:szCs w:val="28"/>
        </w:rPr>
        <w:t>》编制组</w:t>
      </w:r>
    </w:p>
    <w:p>
      <w:pPr>
        <w:jc w:val="center"/>
        <w:rPr>
          <w:rFonts w:hint="eastAsia"/>
          <w:b/>
          <w:sz w:val="28"/>
          <w:szCs w:val="28"/>
          <w:lang w:val="en-US" w:eastAsia="zh-CN"/>
        </w:rPr>
      </w:pPr>
      <w:r>
        <w:rPr>
          <w:rFonts w:hint="eastAsia"/>
          <w:b/>
          <w:sz w:val="28"/>
          <w:szCs w:val="28"/>
        </w:rPr>
        <w:t>编写单位：</w:t>
      </w:r>
      <w:r>
        <w:rPr>
          <w:rFonts w:hint="eastAsia"/>
          <w:b/>
          <w:sz w:val="28"/>
          <w:szCs w:val="28"/>
          <w:lang w:val="en-US" w:eastAsia="zh-CN"/>
        </w:rPr>
        <w:t>湖北万润新能源科技股份有限公司</w:t>
      </w:r>
    </w:p>
    <w:p>
      <w:pPr>
        <w:jc w:val="center"/>
        <w:rPr>
          <w:rFonts w:hint="eastAsia"/>
          <w:b/>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0"/>
          <w:cols w:space="425" w:num="1"/>
          <w:docGrid w:type="lines" w:linePitch="312" w:charSpace="0"/>
        </w:sectPr>
      </w:pPr>
      <w:r>
        <w:rPr>
          <w:b/>
          <w:sz w:val="28"/>
          <w:szCs w:val="28"/>
        </w:rPr>
        <w:t>202</w:t>
      </w:r>
      <w:r>
        <w:rPr>
          <w:rFonts w:hint="eastAsia"/>
          <w:b/>
          <w:sz w:val="28"/>
          <w:szCs w:val="28"/>
          <w:lang w:val="en-US" w:eastAsia="zh-CN"/>
        </w:rPr>
        <w:t>5</w:t>
      </w:r>
      <w:r>
        <w:rPr>
          <w:b/>
          <w:sz w:val="28"/>
          <w:szCs w:val="28"/>
        </w:rPr>
        <w:t>年</w:t>
      </w:r>
      <w:r>
        <w:rPr>
          <w:rFonts w:hint="eastAsia"/>
          <w:b/>
          <w:sz w:val="28"/>
          <w:szCs w:val="28"/>
          <w:lang w:val="en-US" w:eastAsia="zh-CN"/>
        </w:rPr>
        <w:t>3</w:t>
      </w:r>
      <w:r>
        <w:rPr>
          <w:rFonts w:hint="eastAsia"/>
          <w:b/>
          <w:sz w:val="28"/>
          <w:szCs w:val="28"/>
        </w:rPr>
        <w:t>月</w:t>
      </w:r>
    </w:p>
    <w:p>
      <w:pPr>
        <w:spacing w:before="156" w:beforeLines="50" w:after="156" w:afterLines="50" w:line="400" w:lineRule="exact"/>
        <w:outlineLvl w:val="0"/>
        <w:rPr>
          <w:rFonts w:ascii="黑体" w:hAnsi="黑体" w:eastAsia="黑体" w:cs="黑体"/>
          <w:bCs/>
          <w:szCs w:val="21"/>
        </w:rPr>
      </w:pPr>
      <w:r>
        <w:rPr>
          <w:rFonts w:hint="eastAsia" w:ascii="黑体" w:hAnsi="黑体" w:eastAsia="黑体" w:cs="黑体"/>
          <w:bCs/>
          <w:szCs w:val="21"/>
        </w:rPr>
        <w:t>一、工作简况</w:t>
      </w:r>
    </w:p>
    <w:p>
      <w:pPr>
        <w:widowControl w:val="0"/>
        <w:spacing w:after="156" w:afterLines="50" w:line="240" w:lineRule="auto"/>
        <w:jc w:val="both"/>
        <w:outlineLvl w:val="1"/>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（一） 任务来源</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color w:val="auto"/>
          <w:sz w:val="21"/>
          <w:szCs w:val="21"/>
        </w:rPr>
      </w:pPr>
      <w:r>
        <w:rPr>
          <w:rFonts w:ascii="黑体" w:hAnsi="宋体" w:eastAsia="黑体"/>
          <w:color w:val="auto"/>
        </w:rPr>
        <w:t xml:space="preserve"> 1</w:t>
      </w:r>
      <w:r>
        <w:rPr>
          <w:rFonts w:hint="eastAsia" w:ascii="黑体" w:hAnsi="宋体" w:eastAsia="黑体"/>
          <w:color w:val="auto"/>
        </w:rPr>
        <w:t>、基本信息</w:t>
      </w:r>
    </w:p>
    <w:p>
      <w:pPr>
        <w:keepNext w:val="0"/>
        <w:keepLines w:val="0"/>
        <w:pageBreakBefore w:val="0"/>
        <w:widowControl w:val="0"/>
        <w:kinsoku/>
        <w:wordWrap/>
        <w:overflowPunct/>
        <w:topLinePunct w:val="0"/>
        <w:autoSpaceDE/>
        <w:autoSpaceDN/>
        <w:bidi w:val="0"/>
        <w:adjustRightInd/>
        <w:snapToGrid/>
        <w:spacing w:line="360" w:lineRule="exact"/>
        <w:ind w:firstLine="437" w:firstLineChars="0"/>
        <w:jc w:val="both"/>
        <w:textAlignment w:val="auto"/>
        <w:rPr>
          <w:rFonts w:hint="eastAsia"/>
          <w:color w:val="auto"/>
          <w:sz w:val="21"/>
          <w:szCs w:val="21"/>
        </w:rPr>
      </w:pPr>
      <w:r>
        <w:rPr>
          <w:rFonts w:hint="eastAsia"/>
          <w:color w:val="auto"/>
          <w:sz w:val="21"/>
          <w:szCs w:val="21"/>
        </w:rPr>
        <w:t>根据工信部《工业和信息化部办公厅关于印发2024年第三批行业标准制修订计划的通知》（工信厅科函〔2024〕317号）</w:t>
      </w:r>
      <w:r>
        <w:rPr>
          <w:rFonts w:hint="eastAsia"/>
          <w:color w:val="auto"/>
          <w:sz w:val="21"/>
          <w:szCs w:val="21"/>
          <w:lang w:val="en-US" w:eastAsia="zh-CN"/>
        </w:rPr>
        <w:t>要求</w:t>
      </w:r>
      <w:r>
        <w:rPr>
          <w:rFonts w:hint="eastAsia"/>
          <w:color w:val="auto"/>
          <w:sz w:val="21"/>
          <w:szCs w:val="21"/>
        </w:rPr>
        <w:t>，</w:t>
      </w:r>
      <w:r>
        <w:rPr>
          <w:rFonts w:hint="eastAsia"/>
          <w:color w:val="auto"/>
          <w:szCs w:val="28"/>
        </w:rPr>
        <w:t>20</w:t>
      </w:r>
      <w:r>
        <w:rPr>
          <w:color w:val="auto"/>
          <w:szCs w:val="28"/>
        </w:rPr>
        <w:t>2</w:t>
      </w:r>
      <w:r>
        <w:rPr>
          <w:rFonts w:hint="eastAsia"/>
          <w:color w:val="auto"/>
          <w:szCs w:val="28"/>
          <w:lang w:val="en-US" w:eastAsia="zh-CN"/>
        </w:rPr>
        <w:t>5</w:t>
      </w:r>
      <w:r>
        <w:rPr>
          <w:rFonts w:hint="eastAsia"/>
          <w:color w:val="auto"/>
          <w:szCs w:val="28"/>
        </w:rPr>
        <w:t>年</w:t>
      </w:r>
      <w:r>
        <w:rPr>
          <w:rFonts w:hint="eastAsia"/>
          <w:color w:val="auto"/>
          <w:szCs w:val="28"/>
          <w:lang w:val="en-US" w:eastAsia="zh-CN"/>
        </w:rPr>
        <w:t>8月</w:t>
      </w:r>
      <w:r>
        <w:rPr>
          <w:rFonts w:hint="eastAsia"/>
          <w:color w:val="auto"/>
          <w:szCs w:val="28"/>
        </w:rPr>
        <w:t>完</w:t>
      </w:r>
      <w:r>
        <w:rPr>
          <w:rFonts w:hint="eastAsia" w:ascii="Times New Roman" w:hAnsi="Times New Roman" w:eastAsia="宋体" w:cs="Times New Roman"/>
          <w:color w:val="auto"/>
          <w:sz w:val="21"/>
          <w:szCs w:val="21"/>
          <w:lang w:val="en-US" w:eastAsia="zh-CN"/>
        </w:rPr>
        <w:t>成《</w:t>
      </w:r>
      <w:bookmarkStart w:id="0" w:name="OLE_LINK4"/>
      <w:r>
        <w:rPr>
          <w:rFonts w:hint="eastAsia" w:ascii="Times New Roman" w:hAnsi="Times New Roman" w:eastAsia="宋体" w:cs="Times New Roman"/>
          <w:color w:val="auto"/>
          <w:sz w:val="21"/>
          <w:szCs w:val="21"/>
          <w:lang w:val="en-US" w:eastAsia="zh-CN"/>
        </w:rPr>
        <w:t>钠离子电池用镍锰钛酸钠</w:t>
      </w:r>
      <w:bookmarkEnd w:id="0"/>
      <w:r>
        <w:rPr>
          <w:rFonts w:hint="eastAsia" w:ascii="Times New Roman" w:hAnsi="Times New Roman" w:eastAsia="宋体" w:cs="Times New Roman"/>
          <w:color w:val="auto"/>
          <w:sz w:val="21"/>
          <w:szCs w:val="21"/>
          <w:lang w:val="en-US" w:eastAsia="zh-CN"/>
        </w:rPr>
        <w:t>》化工</w:t>
      </w:r>
      <w:r>
        <w:rPr>
          <w:rFonts w:hint="eastAsia"/>
          <w:color w:val="auto"/>
          <w:szCs w:val="21"/>
        </w:rPr>
        <w:t>行业标准的</w:t>
      </w:r>
      <w:r>
        <w:rPr>
          <w:rFonts w:hint="eastAsia"/>
          <w:color w:val="auto"/>
          <w:szCs w:val="21"/>
          <w:lang w:val="en-US" w:eastAsia="zh-CN"/>
        </w:rPr>
        <w:t>起草工作（</w:t>
      </w:r>
      <w:r>
        <w:rPr>
          <w:rFonts w:hint="eastAsia"/>
          <w:color w:val="auto"/>
          <w:sz w:val="21"/>
          <w:szCs w:val="21"/>
        </w:rPr>
        <w:t>项目计划号：2024-0917T-HG</w:t>
      </w:r>
      <w:r>
        <w:rPr>
          <w:rFonts w:hint="eastAsia"/>
          <w:color w:val="auto"/>
          <w:sz w:val="21"/>
          <w:szCs w:val="21"/>
          <w:lang w:eastAsia="zh-CN"/>
        </w:rPr>
        <w:t>）</w:t>
      </w:r>
      <w:r>
        <w:rPr>
          <w:rFonts w:hint="eastAsia"/>
          <w:color w:val="auto"/>
          <w:szCs w:val="21"/>
          <w:lang w:val="en-US" w:eastAsia="zh-CN"/>
        </w:rPr>
        <w:t>，本文件</w:t>
      </w:r>
      <w:r>
        <w:rPr>
          <w:rFonts w:hint="eastAsia"/>
          <w:color w:val="auto"/>
          <w:sz w:val="21"/>
          <w:szCs w:val="21"/>
        </w:rPr>
        <w:t>由全国化学标准化技术委员会无机化工分技术委员会</w:t>
      </w:r>
      <w:r>
        <w:rPr>
          <w:rFonts w:hint="eastAsia"/>
          <w:color w:val="auto"/>
          <w:sz w:val="21"/>
          <w:szCs w:val="21"/>
          <w:lang w:eastAsia="zh-CN"/>
        </w:rPr>
        <w:t>、</w:t>
      </w:r>
      <w:r>
        <w:rPr>
          <w:rFonts w:hint="eastAsia"/>
          <w:color w:val="auto"/>
          <w:sz w:val="21"/>
          <w:szCs w:val="21"/>
        </w:rPr>
        <w:t>全国有色金属标准化技术委员会</w:t>
      </w:r>
      <w:r>
        <w:rPr>
          <w:rFonts w:hint="eastAsia"/>
          <w:color w:val="auto"/>
          <w:sz w:val="21"/>
          <w:szCs w:val="21"/>
          <w:lang w:val="en-US" w:eastAsia="zh-CN"/>
        </w:rPr>
        <w:t>鲉归口，由湖北万润新能源科技股份有限</w:t>
      </w:r>
      <w:r>
        <w:rPr>
          <w:rFonts w:hint="eastAsia"/>
          <w:color w:val="auto"/>
          <w:sz w:val="21"/>
          <w:szCs w:val="21"/>
        </w:rPr>
        <w:t>公司</w:t>
      </w:r>
      <w:r>
        <w:rPr>
          <w:rFonts w:hint="eastAsia"/>
          <w:color w:val="auto"/>
          <w:sz w:val="21"/>
          <w:szCs w:val="21"/>
          <w:lang w:eastAsia="zh-CN"/>
        </w:rPr>
        <w:t>、</w:t>
      </w:r>
      <w:r>
        <w:rPr>
          <w:rFonts w:hint="eastAsia"/>
          <w:strike w:val="0"/>
          <w:dstrike w:val="0"/>
          <w:sz w:val="21"/>
          <w:szCs w:val="21"/>
        </w:rPr>
        <w:t>厦门厦钨新能源材料股份有限公司、北京当升材料科技股份有限公司、</w:t>
      </w:r>
      <w:r>
        <w:rPr>
          <w:rFonts w:hint="eastAsia"/>
          <w:strike w:val="0"/>
          <w:dstrike w:val="0"/>
          <w:sz w:val="21"/>
          <w:szCs w:val="21"/>
          <w:lang w:val="en-US" w:eastAsia="zh-CN"/>
        </w:rPr>
        <w:t>湖南</w:t>
      </w:r>
      <w:r>
        <w:rPr>
          <w:rFonts w:hint="eastAsia"/>
          <w:strike w:val="0"/>
          <w:dstrike w:val="0"/>
          <w:sz w:val="21"/>
          <w:szCs w:val="21"/>
        </w:rPr>
        <w:t>中伟新材料股份有限公司、格林美股份有限公司、广东邦普循环科技有限公司</w:t>
      </w:r>
      <w:r>
        <w:rPr>
          <w:rFonts w:hint="eastAsia"/>
          <w:strike w:val="0"/>
          <w:dstrike w:val="0"/>
          <w:sz w:val="21"/>
          <w:szCs w:val="21"/>
          <w:lang w:eastAsia="zh-CN"/>
        </w:rPr>
        <w:t>、湖北容百锂电材料有限公司</w:t>
      </w:r>
      <w:r>
        <w:rPr>
          <w:rFonts w:hint="eastAsia" w:ascii="宋体" w:hAnsi="宋体"/>
          <w:color w:val="auto"/>
          <w:lang w:val="en-US" w:eastAsia="zh-CN"/>
        </w:rPr>
        <w:t>、中海油天津化工研究设计院有限公司</w:t>
      </w:r>
      <w:r>
        <w:rPr>
          <w:rFonts w:hint="eastAsia"/>
          <w:bCs/>
          <w:color w:val="auto"/>
        </w:rPr>
        <w:t>等单位共同起草</w:t>
      </w:r>
      <w:r>
        <w:rPr>
          <w:rFonts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宋体" w:eastAsia="黑体"/>
          <w:color w:val="auto"/>
          <w:lang w:val="en-US" w:eastAsia="zh-CN"/>
        </w:rPr>
      </w:pPr>
      <w:r>
        <w:rPr>
          <w:rFonts w:hint="eastAsia" w:ascii="黑体" w:hAnsi="宋体" w:eastAsia="黑体"/>
          <w:color w:val="auto"/>
          <w:lang w:val="en-US" w:eastAsia="zh-CN"/>
        </w:rPr>
        <w:t>2、目的、意义</w:t>
      </w:r>
    </w:p>
    <w:p>
      <w:pPr>
        <w:keepNext w:val="0"/>
        <w:keepLines w:val="0"/>
        <w:pageBreakBefore w:val="0"/>
        <w:widowControl w:val="0"/>
        <w:kinsoku/>
        <w:wordWrap/>
        <w:overflowPunct/>
        <w:topLinePunct w:val="0"/>
        <w:autoSpaceDE/>
        <w:autoSpaceDN/>
        <w:bidi w:val="0"/>
        <w:adjustRightInd/>
        <w:snapToGrid/>
        <w:spacing w:line="360" w:lineRule="exact"/>
        <w:ind w:firstLine="437" w:firstLineChars="0"/>
        <w:jc w:val="both"/>
        <w:textAlignment w:val="auto"/>
        <w:rPr>
          <w:rFonts w:ascii="Segoe UI" w:hAnsi="Segoe UI" w:eastAsia="Segoe UI" w:cs="Segoe UI"/>
          <w:i w:val="0"/>
          <w:iCs w:val="0"/>
          <w:caps w:val="0"/>
          <w:spacing w:val="0"/>
          <w:sz w:val="24"/>
          <w:szCs w:val="24"/>
          <w:shd w:val="clear" w:fill="FCFCFC"/>
        </w:rPr>
      </w:pPr>
      <w:r>
        <w:rPr>
          <w:rFonts w:hint="eastAsia" w:ascii="Times New Roman" w:hAnsi="Times New Roman" w:eastAsia="宋体" w:cs="Times New Roman"/>
          <w:color w:val="auto"/>
          <w:sz w:val="21"/>
          <w:szCs w:val="21"/>
        </w:rPr>
        <w:t>钠离子电池（SIBs）作为锂离子电池（LIBs）的低成本替代品，近年来备受关注。</w:t>
      </w:r>
      <w:r>
        <w:rPr>
          <w:rFonts w:ascii="Segoe UI" w:hAnsi="Segoe UI" w:eastAsia="Segoe UI" w:cs="Segoe UI"/>
          <w:i w:val="0"/>
          <w:iCs w:val="0"/>
          <w:caps w:val="0"/>
          <w:spacing w:val="0"/>
          <w:sz w:val="24"/>
          <w:szCs w:val="24"/>
          <w:shd w:val="clear" w:fill="FCFCFC"/>
        </w:rPr>
        <w:t>镍锰钛酸钠（Na-Ni-Mn-Ti-O）作为钠离子电池（SIBs）正极材料，因其成本低、能量密度适中且环境友好，</w:t>
      </w:r>
      <w:r>
        <w:rPr>
          <w:rFonts w:hint="eastAsia" w:ascii="Segoe UI" w:hAnsi="Segoe UI" w:eastAsia="宋体" w:cs="Segoe UI"/>
          <w:i w:val="0"/>
          <w:iCs w:val="0"/>
          <w:caps w:val="0"/>
          <w:spacing w:val="0"/>
          <w:sz w:val="24"/>
          <w:szCs w:val="24"/>
          <w:shd w:val="clear" w:fill="FCFCFC"/>
          <w:lang w:val="en-US" w:eastAsia="zh-CN"/>
        </w:rPr>
        <w:t>已</w:t>
      </w:r>
      <w:r>
        <w:rPr>
          <w:rFonts w:ascii="Segoe UI" w:hAnsi="Segoe UI" w:eastAsia="Segoe UI" w:cs="Segoe UI"/>
          <w:i w:val="0"/>
          <w:iCs w:val="0"/>
          <w:caps w:val="0"/>
          <w:spacing w:val="0"/>
          <w:sz w:val="24"/>
          <w:szCs w:val="24"/>
          <w:shd w:val="clear" w:fill="FCFCFC"/>
        </w:rPr>
        <w:t>成为研究热点。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rPr>
      </w:pPr>
      <w:r>
        <w:rPr>
          <w:rFonts w:hint="eastAsia"/>
          <w:lang w:eastAsia="zh-CN"/>
        </w:rPr>
        <w:t>（</w:t>
      </w:r>
      <w:r>
        <w:rPr>
          <w:rFonts w:hint="eastAsia"/>
          <w:lang w:val="en-US" w:eastAsia="zh-CN"/>
        </w:rPr>
        <w:t>1</w:t>
      </w:r>
      <w:r>
        <w:rPr>
          <w:rFonts w:hint="eastAsia"/>
          <w:lang w:eastAsia="zh-CN"/>
        </w:rPr>
        <w:t>）</w:t>
      </w:r>
      <w:r>
        <w:rPr>
          <w:rFonts w:hint="default"/>
        </w:rPr>
        <w:t>市场需求与政策支持</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替代锂电需求：锂资源短缺和价格波动推动钠电发展，尤其适用于储能（如电网、光伏/风电）和低速电动车。</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政策驱动：中国“十四五”规划明确支持钠离子电池技术，欧美也在布局钠电产业链。</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成本优势：镍、锰、钛资源丰富，材料成本仅为锂电正极（如NCM）的30-50%。</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rPr>
      </w:pPr>
      <w:r>
        <w:rPr>
          <w:rFonts w:hint="eastAsia"/>
          <w:lang w:eastAsia="zh-CN"/>
        </w:rPr>
        <w:t>（</w:t>
      </w:r>
      <w:r>
        <w:rPr>
          <w:rFonts w:hint="eastAsia"/>
          <w:lang w:val="en-US" w:eastAsia="zh-CN"/>
        </w:rPr>
        <w:t>2）</w:t>
      </w:r>
      <w:r>
        <w:rPr>
          <w:rFonts w:hint="default"/>
        </w:rPr>
        <w:t>技术竞争力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能量密度：镍锰钛酸钠体系能量密度可达250-300 Wh/kg（全电池），接近磷酸铁锂（LFP）水平。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长循环潜力：通过结构优化（如P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/O</w:t>
      </w:r>
      <w:r>
        <w:rPr>
          <w:rFonts w:hint="default" w:ascii="Times New Roman" w:hAnsi="Times New Roman" w:eastAsia="宋体" w:cs="Times New Roman"/>
          <w:color w:val="auto"/>
          <w:sz w:val="21"/>
          <w:szCs w:val="21"/>
          <w:vertAlign w:val="subscript"/>
        </w:rPr>
        <w:t>3</w:t>
      </w:r>
      <w:r>
        <w:rPr>
          <w:rFonts w:hint="default" w:ascii="Times New Roman" w:hAnsi="Times New Roman" w:eastAsia="宋体" w:cs="Times New Roman"/>
          <w:color w:val="auto"/>
          <w:sz w:val="21"/>
          <w:szCs w:val="21"/>
        </w:rPr>
        <w:t>复合相），循环寿命有望突破3000次（80%容量保持率）。</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安全性：无热失控风险，适合高安全要求的场景（如储能电站）。</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color w:val="auto"/>
          <w:sz w:val="21"/>
          <w:szCs w:val="21"/>
          <w:lang w:val="en-US" w:eastAsia="zh-CN"/>
        </w:rPr>
      </w:pPr>
      <w:r>
        <w:rPr>
          <w:rFonts w:hint="eastAsia" w:ascii="Times New Roman" w:hAnsi="Times New Roman" w:eastAsia="宋体" w:cs="Times New Roman"/>
          <w:color w:val="auto"/>
          <w:sz w:val="21"/>
          <w:szCs w:val="21"/>
          <w:lang w:val="en-US" w:eastAsia="zh-CN"/>
        </w:rPr>
        <w:t>目前，</w:t>
      </w:r>
      <w:r>
        <w:rPr>
          <w:rFonts w:hint="default" w:ascii="Times New Roman" w:hAnsi="Times New Roman" w:eastAsia="宋体" w:cs="Times New Roman"/>
          <w:color w:val="auto"/>
          <w:sz w:val="21"/>
          <w:szCs w:val="21"/>
        </w:rPr>
        <w:t>宁德时代、中科海钠等企业已布局钠电，镍锰钛酸钠</w:t>
      </w:r>
      <w:r>
        <w:rPr>
          <w:rFonts w:hint="eastAsia" w:ascii="Times New Roman" w:hAnsi="Times New Roman" w:eastAsia="宋体" w:cs="Times New Roman"/>
          <w:color w:val="auto"/>
          <w:sz w:val="21"/>
          <w:szCs w:val="21"/>
          <w:lang w:val="en-US" w:eastAsia="zh-CN"/>
        </w:rPr>
        <w:t>作为钠离子电池正极</w:t>
      </w:r>
      <w:r>
        <w:rPr>
          <w:rFonts w:hint="default" w:ascii="Times New Roman" w:hAnsi="Times New Roman" w:eastAsia="宋体" w:cs="Times New Roman"/>
          <w:color w:val="auto"/>
          <w:sz w:val="21"/>
          <w:szCs w:val="21"/>
        </w:rPr>
        <w:t>材料</w:t>
      </w:r>
      <w:r>
        <w:rPr>
          <w:rFonts w:hint="eastAsia" w:ascii="Times New Roman" w:hAnsi="Times New Roman" w:eastAsia="宋体" w:cs="Times New Roman"/>
          <w:color w:val="auto"/>
          <w:sz w:val="21"/>
          <w:szCs w:val="21"/>
          <w:lang w:eastAsia="zh-CN"/>
        </w:rPr>
        <w:t>，</w:t>
      </w:r>
      <w:r>
        <w:rPr>
          <w:rFonts w:hint="eastAsia" w:ascii="Times New Roman" w:hAnsi="Times New Roman" w:eastAsia="宋体" w:cs="Times New Roman"/>
          <w:color w:val="auto"/>
          <w:sz w:val="21"/>
          <w:szCs w:val="21"/>
          <w:lang w:val="en-US" w:eastAsia="zh-CN"/>
        </w:rPr>
        <w:t>将在</w:t>
      </w:r>
      <w:r>
        <w:rPr>
          <w:rFonts w:hint="default" w:ascii="Times New Roman" w:hAnsi="Times New Roman" w:eastAsia="宋体" w:cs="Times New Roman"/>
          <w:color w:val="auto"/>
          <w:sz w:val="21"/>
          <w:szCs w:val="21"/>
        </w:rPr>
        <w:t>2025年后进入规模化应用</w:t>
      </w:r>
      <w:r>
        <w:rPr>
          <w:rFonts w:hint="eastAsia" w:ascii="Times New Roman" w:hAnsi="Times New Roman" w:eastAsia="宋体" w:cs="Times New Roman"/>
          <w:color w:val="auto"/>
          <w:sz w:val="21"/>
          <w:szCs w:val="21"/>
          <w:lang w:eastAsia="zh-CN"/>
        </w:rPr>
        <w:t>，</w:t>
      </w:r>
      <w:r>
        <w:rPr>
          <w:rFonts w:hint="eastAsia"/>
          <w:color w:val="auto"/>
          <w:sz w:val="21"/>
          <w:szCs w:val="21"/>
          <w:lang w:val="en-US" w:eastAsia="zh-CN"/>
        </w:rPr>
        <w:t>湖北万润新能源科技股份有限</w:t>
      </w:r>
      <w:r>
        <w:rPr>
          <w:rFonts w:hint="eastAsia"/>
          <w:color w:val="auto"/>
          <w:sz w:val="21"/>
          <w:szCs w:val="21"/>
        </w:rPr>
        <w:t>公司</w:t>
      </w:r>
      <w:r>
        <w:rPr>
          <w:rFonts w:hint="eastAsia"/>
          <w:color w:val="auto"/>
          <w:sz w:val="21"/>
          <w:szCs w:val="21"/>
          <w:lang w:val="en-US" w:eastAsia="zh-CN"/>
        </w:rPr>
        <w:t>等单位已开展规模化生产，制定该材料的行业标准已迫在眉睫。</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黑体" w:hAnsi="宋体" w:eastAsia="黑体"/>
          <w:color w:val="auto"/>
          <w:lang w:val="en-US" w:eastAsia="zh-CN"/>
        </w:rPr>
      </w:pPr>
      <w:r>
        <w:rPr>
          <w:rFonts w:hint="eastAsia" w:ascii="黑体" w:hAnsi="宋体" w:eastAsia="黑体"/>
          <w:color w:val="auto"/>
          <w:lang w:val="en-US" w:eastAsia="zh-CN"/>
        </w:rPr>
        <w:t>3、简要情况</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eastAsia" w:cs="Times New Roman"/>
          <w:color w:val="auto"/>
          <w:sz w:val="21"/>
          <w:szCs w:val="21"/>
          <w:lang w:eastAsia="zh-CN"/>
        </w:rPr>
        <w:t>（</w:t>
      </w:r>
      <w:r>
        <w:rPr>
          <w:rFonts w:hint="eastAsia" w:cs="Times New Roman"/>
          <w:color w:val="auto"/>
          <w:sz w:val="21"/>
          <w:szCs w:val="21"/>
          <w:lang w:val="en-US" w:eastAsia="zh-CN"/>
        </w:rPr>
        <w:t>1）</w:t>
      </w:r>
      <w:r>
        <w:rPr>
          <w:rFonts w:hint="default" w:ascii="Times New Roman" w:hAnsi="Times New Roman" w:eastAsia="宋体" w:cs="Times New Roman"/>
          <w:color w:val="auto"/>
          <w:sz w:val="21"/>
          <w:szCs w:val="21"/>
        </w:rPr>
        <w:t>材料结构与类型</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镍锰钛酸钠属于层状氧化物正极材料（如O</w:t>
      </w:r>
      <w:r>
        <w:rPr>
          <w:rFonts w:hint="default" w:ascii="Times New Roman" w:hAnsi="Times New Roman" w:eastAsia="宋体" w:cs="Times New Roman"/>
          <w:color w:val="auto"/>
          <w:sz w:val="21"/>
          <w:szCs w:val="21"/>
          <w:vertAlign w:val="subscript"/>
        </w:rPr>
        <w:t>3</w:t>
      </w:r>
      <w:r>
        <w:rPr>
          <w:rFonts w:hint="default" w:ascii="Times New Roman" w:hAnsi="Times New Roman" w:eastAsia="宋体" w:cs="Times New Roman"/>
          <w:color w:val="auto"/>
          <w:sz w:val="21"/>
          <w:szCs w:val="21"/>
        </w:rPr>
        <w:t>型或P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型结构），典型化学通式可表示为</w:t>
      </w:r>
      <w:r>
        <w:rPr>
          <w:rFonts w:hint="eastAsia" w:ascii="Times New Roman"/>
          <w:color w:val="auto"/>
          <w:lang w:eastAsia="zh-CN"/>
        </w:rPr>
        <w:t>NaNi</w:t>
      </w:r>
      <w:r>
        <w:rPr>
          <w:rFonts w:hint="eastAsia" w:ascii="Times New Roman"/>
          <w:color w:val="auto"/>
          <w:vertAlign w:val="subscript"/>
          <w:lang w:eastAsia="zh-CN"/>
        </w:rPr>
        <w:t>α</w:t>
      </w:r>
      <w:r>
        <w:rPr>
          <w:rFonts w:hint="eastAsia" w:ascii="Times New Roman"/>
          <w:color w:val="auto"/>
          <w:lang w:eastAsia="zh-CN"/>
        </w:rPr>
        <w:t>Mn</w:t>
      </w:r>
      <w:r>
        <w:rPr>
          <w:rFonts w:hint="eastAsia" w:ascii="Times New Roman"/>
          <w:color w:val="auto"/>
          <w:vertAlign w:val="subscript"/>
          <w:lang w:val="en-US" w:eastAsia="zh-CN"/>
        </w:rPr>
        <w:t>β</w:t>
      </w:r>
      <w:r>
        <w:rPr>
          <w:rFonts w:hint="eastAsia" w:ascii="Times New Roman"/>
          <w:color w:val="auto"/>
          <w:lang w:eastAsia="zh-CN"/>
        </w:rPr>
        <w:t>Ti</w:t>
      </w:r>
      <w:r>
        <w:rPr>
          <w:rFonts w:hint="eastAsia" w:ascii="Times New Roman"/>
          <w:color w:val="auto"/>
          <w:vertAlign w:val="subscript"/>
          <w:lang w:val="en-US" w:eastAsia="zh-CN"/>
        </w:rPr>
        <w:t>γ</w:t>
      </w:r>
      <w:r>
        <w:rPr>
          <w:rFonts w:hint="eastAsia" w:ascii="Times New Roman"/>
          <w:color w:val="auto"/>
          <w:lang w:eastAsia="zh-CN"/>
        </w:rPr>
        <w:t>O</w:t>
      </w:r>
      <w:r>
        <w:rPr>
          <w:rFonts w:hint="eastAsia" w:ascii="Times New Roman"/>
          <w:color w:val="auto"/>
          <w:vertAlign w:val="subscript"/>
          <w:lang w:val="en-US" w:eastAsia="zh-CN"/>
        </w:rPr>
        <w:t>2</w:t>
      </w:r>
      <w:r>
        <w:rPr>
          <w:rFonts w:hint="eastAsia" w:ascii="Times New Roman"/>
          <w:color w:val="auto"/>
          <w:lang w:eastAsia="zh-CN"/>
        </w:rPr>
        <w:t>（α+β+γ=1）</w:t>
      </w:r>
      <w:r>
        <w:rPr>
          <w:rFonts w:hint="eastAsia" w:ascii="Times New Roman"/>
          <w:color w:val="auto"/>
          <w:lang w:val="en-US" w:eastAsia="zh-CN"/>
        </w:rPr>
        <w:t>或</w:t>
      </w:r>
      <w:r>
        <w:rPr>
          <w:rFonts w:hint="eastAsia" w:ascii="Times New Roman"/>
          <w:color w:val="auto"/>
          <w:lang w:eastAsia="zh-CN"/>
        </w:rPr>
        <w:t>NaNi</w:t>
      </w:r>
      <w:r>
        <w:rPr>
          <w:rFonts w:hint="eastAsia" w:ascii="Times New Roman"/>
          <w:color w:val="auto"/>
          <w:vertAlign w:val="subscript"/>
          <w:lang w:val="en-US" w:eastAsia="zh-CN"/>
        </w:rPr>
        <w:t>α</w:t>
      </w:r>
      <w:r>
        <w:rPr>
          <w:rFonts w:hint="eastAsia" w:ascii="Times New Roman"/>
          <w:color w:val="auto"/>
          <w:lang w:eastAsia="zh-CN"/>
        </w:rPr>
        <w:t>Mn</w:t>
      </w:r>
      <w:r>
        <w:rPr>
          <w:rFonts w:hint="eastAsia" w:ascii="Times New Roman"/>
          <w:color w:val="auto"/>
          <w:vertAlign w:val="subscript"/>
          <w:lang w:val="en-US" w:eastAsia="zh-CN"/>
        </w:rPr>
        <w:t>β</w:t>
      </w:r>
      <w:r>
        <w:rPr>
          <w:rFonts w:hint="eastAsia" w:ascii="Times New Roman"/>
          <w:color w:val="auto"/>
          <w:vertAlign w:val="baseline"/>
          <w:lang w:val="en-US" w:eastAsia="zh-CN"/>
        </w:rPr>
        <w:t>Cu</w:t>
      </w:r>
      <w:r>
        <w:rPr>
          <w:rFonts w:hint="eastAsia" w:ascii="Times New Roman"/>
          <w:color w:val="auto"/>
          <w:vertAlign w:val="subscript"/>
          <w:lang w:val="en-US" w:eastAsia="zh-CN"/>
        </w:rPr>
        <w:t>δ</w:t>
      </w:r>
      <w:r>
        <w:rPr>
          <w:rFonts w:hint="eastAsia" w:ascii="Times New Roman"/>
          <w:color w:val="auto"/>
          <w:lang w:eastAsia="zh-CN"/>
        </w:rPr>
        <w:t>Ti</w:t>
      </w:r>
      <w:r>
        <w:rPr>
          <w:rFonts w:hint="eastAsia" w:ascii="Times New Roman"/>
          <w:color w:val="auto"/>
          <w:vertAlign w:val="subscript"/>
          <w:lang w:val="en-US" w:eastAsia="zh-CN"/>
        </w:rPr>
        <w:t>γ</w:t>
      </w:r>
      <w:r>
        <w:rPr>
          <w:rFonts w:hint="eastAsia" w:ascii="Times New Roman"/>
          <w:color w:val="auto"/>
          <w:lang w:eastAsia="zh-CN"/>
        </w:rPr>
        <w:t>O</w:t>
      </w:r>
      <w:r>
        <w:rPr>
          <w:rFonts w:hint="eastAsia" w:ascii="Times New Roman"/>
          <w:color w:val="auto"/>
          <w:vertAlign w:val="subscript"/>
          <w:lang w:val="en-US" w:eastAsia="zh-CN"/>
        </w:rPr>
        <w:t>2</w:t>
      </w:r>
      <w:r>
        <w:rPr>
          <w:rFonts w:hint="eastAsia" w:ascii="Times New Roman"/>
          <w:color w:val="auto"/>
          <w:lang w:eastAsia="zh-CN"/>
        </w:rPr>
        <w:t>（</w:t>
      </w:r>
      <w:r>
        <w:rPr>
          <w:rFonts w:hint="eastAsia" w:ascii="Times New Roman"/>
          <w:color w:val="auto"/>
          <w:lang w:val="en-US" w:eastAsia="zh-CN"/>
        </w:rPr>
        <w:t>α+</w:t>
      </w:r>
      <w:r>
        <w:rPr>
          <w:rFonts w:hint="eastAsia" w:ascii="Times New Roman"/>
          <w:color w:val="auto"/>
          <w:lang w:eastAsia="zh-CN"/>
        </w:rPr>
        <w:t>β+δ+γ=1）</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常见配比如NaNi₀.₂Mn₀.₆Ti₀.₂O₂。</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O</w:t>
      </w:r>
      <w:r>
        <w:rPr>
          <w:rFonts w:hint="default" w:ascii="Times New Roman" w:hAnsi="Times New Roman" w:eastAsia="宋体" w:cs="Times New Roman"/>
          <w:color w:val="auto"/>
          <w:sz w:val="21"/>
          <w:szCs w:val="21"/>
          <w:vertAlign w:val="subscript"/>
        </w:rPr>
        <w:t>3</w:t>
      </w:r>
      <w:r>
        <w:rPr>
          <w:rFonts w:hint="default" w:ascii="Times New Roman" w:hAnsi="Times New Roman" w:eastAsia="宋体" w:cs="Times New Roman"/>
          <w:color w:val="auto"/>
          <w:sz w:val="21"/>
          <w:szCs w:val="21"/>
        </w:rPr>
        <w:t>型：钠离子占据八面体位点，适合高钠含量但可能因结构相变导致循环衰减。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型：钠离子占据棱柱体位点，具有更好的结构稳定性和离子扩散能力。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lang w:eastAsia="zh-CN"/>
        </w:rPr>
        <w:t>（</w:t>
      </w:r>
      <w:r>
        <w:rPr>
          <w:rFonts w:hint="eastAsia"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主要生产工艺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固相法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流程：将金属氧化物（NiO</w:t>
      </w:r>
      <w:r>
        <w:rPr>
          <w:rFonts w:hint="eastAsia"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、MnO₂、TiO₂）与钠源（Na₂CO₃）机械混合，高温煅烧（800℃</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1000℃）。</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优点：工艺简单、成本低，适合工业化生产。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缺点：颗粒不均匀，易形成杂质相（如NiO</w:t>
      </w:r>
      <w:r>
        <w:rPr>
          <w:rFonts w:hint="eastAsia"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残留）。</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eastAsia" w:cs="Times New Roman"/>
          <w:color w:val="auto"/>
          <w:sz w:val="21"/>
          <w:szCs w:val="21"/>
          <w:lang w:eastAsia="zh-CN"/>
        </w:rPr>
        <w:t>）</w:t>
      </w:r>
      <w:r>
        <w:rPr>
          <w:rFonts w:hint="default" w:ascii="Times New Roman" w:hAnsi="Times New Roman" w:eastAsia="宋体" w:cs="Times New Roman"/>
          <w:color w:val="auto"/>
          <w:sz w:val="21"/>
          <w:szCs w:val="21"/>
        </w:rPr>
        <w:t>溶胶-凝胶法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流程：金属盐溶液（硝酸盐/醋酸盐）与络合剂（柠檬酸）形成溶胶，干燥后煅烧成凝胶前驱体。</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优点：成分均匀，颗粒尺寸可控（纳米级）。</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缺点：流程复杂，成本较高，适合实验室研究。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3</w:t>
      </w:r>
      <w:r>
        <w:rPr>
          <w:rFonts w:hint="eastAsia" w:cs="Times New Roman"/>
          <w:color w:val="auto"/>
          <w:sz w:val="21"/>
          <w:szCs w:val="21"/>
          <w:lang w:eastAsia="zh-CN"/>
        </w:rPr>
        <w:t>）</w:t>
      </w:r>
      <w:r>
        <w:rPr>
          <w:rFonts w:hint="default" w:ascii="Times New Roman" w:hAnsi="Times New Roman" w:eastAsia="宋体" w:cs="Times New Roman"/>
          <w:color w:val="auto"/>
          <w:sz w:val="21"/>
          <w:szCs w:val="21"/>
          <w:lang w:eastAsia="zh-CN"/>
        </w:rPr>
        <w:t>共沉淀法</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流程：将金属盐溶液（如Ni²⁺、Mn²⁺、Ti⁴⁺）与沉淀剂（NaOH/Na₂CO₃）反应生成前驱体，再高温烧结。</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优点：可精确调控元素比例，产物纯度高。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缺点：废水处理难度大，需控制pH和反应温度。</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宋体" w:cs="Times New Roman"/>
          <w:color w:val="auto"/>
          <w:sz w:val="21"/>
          <w:szCs w:val="21"/>
          <w:lang w:eastAsia="zh-CN"/>
        </w:rPr>
      </w:pPr>
      <w:r>
        <w:rPr>
          <w:rFonts w:hint="eastAsia" w:eastAsia="黑体"/>
          <w:sz w:val="21"/>
          <w:szCs w:val="21"/>
          <w:lang w:val="en-US" w:eastAsia="zh-CN"/>
        </w:rPr>
        <w:t>4、</w:t>
      </w:r>
      <w:r>
        <w:rPr>
          <w:rFonts w:hint="eastAsia" w:eastAsia="黑体"/>
          <w:sz w:val="21"/>
          <w:szCs w:val="21"/>
        </w:rPr>
        <w:t>行业概况和国际水平</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镍锰钛酸钠正极材料在大规模储能 和低速交通 领域已展现出明确的商业化路径，中国企业（宁德时代、中科海钠）在全球产业化进程中占据领先地位。当前需突破低温性能 和电解液成本 瓶颈，同时加快标准化进程（如制定钠电池国标）。预计到2030年，钠离子电池将占据储能市场20%以上份额，镍锰钛酸钠作为核心正极材料，有望成为能源转型的“新基建”支柱之一。</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eastAsia" w:cs="Times New Roman"/>
          <w:color w:val="auto"/>
          <w:sz w:val="21"/>
          <w:szCs w:val="21"/>
          <w:lang w:eastAsia="zh-CN"/>
        </w:rPr>
        <w:t>（</w:t>
      </w:r>
      <w:r>
        <w:rPr>
          <w:rFonts w:hint="eastAsia" w:cs="Times New Roman"/>
          <w:color w:val="auto"/>
          <w:sz w:val="21"/>
          <w:szCs w:val="21"/>
          <w:lang w:val="en-US" w:eastAsia="zh-CN"/>
        </w:rPr>
        <w:t>1）</w:t>
      </w:r>
      <w:r>
        <w:rPr>
          <w:rFonts w:hint="default" w:ascii="Times New Roman" w:hAnsi="Times New Roman" w:eastAsia="宋体" w:cs="Times New Roman"/>
          <w:color w:val="auto"/>
          <w:sz w:val="21"/>
          <w:szCs w:val="21"/>
          <w:lang w:eastAsia="zh-CN"/>
        </w:rPr>
        <w:t>目标市场</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大规模储能：电网调频、风光储能（需求：长寿命＞3000次，成本＜0.3元/Wh）。</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低速电动车：电动三轮车、物流车（需求：能量密度＞200 Wh/kg，-20℃低温容量＞80%）。</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消费电子：替代部分锂电（如电动工具、无人机），需提升倍率性能（＞5C）。</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全球产业化动态</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cs="Times New Roman"/>
          <w:color w:val="auto"/>
          <w:sz w:val="21"/>
          <w:szCs w:val="21"/>
          <w:lang w:eastAsia="zh-CN"/>
        </w:rPr>
      </w:pPr>
      <w:r>
        <w:rPr>
          <w:rFonts w:hint="eastAsia" w:ascii="Times New Roman" w:hAnsi="Times New Roman" w:eastAsia="宋体" w:cs="Times New Roman"/>
          <w:color w:val="auto"/>
          <w:sz w:val="21"/>
          <w:szCs w:val="21"/>
          <w:lang w:eastAsia="zh-CN"/>
        </w:rPr>
        <w:t>目前，钠离子电池已逐步开始了从实验室走向实用化应用的阶段，国内外已有超过二十家企业正在进行钠离子电池产业化的相关布局，并取得了重要进展</w:t>
      </w:r>
      <w:r>
        <w:rPr>
          <w:rFonts w:hint="eastAsia" w:cs="Times New Roman"/>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hint="default" w:eastAsia="宋体" w:cs="Times New Roman"/>
          <w:color w:val="auto"/>
          <w:sz w:val="21"/>
          <w:szCs w:val="21"/>
          <w:lang w:val="en-US" w:eastAsia="zh-CN"/>
        </w:rPr>
      </w:pPr>
      <w:r>
        <w:rPr>
          <w:rFonts w:hint="eastAsia" w:cs="Times New Roman"/>
          <w:color w:val="auto"/>
          <w:sz w:val="21"/>
          <w:szCs w:val="21"/>
          <w:lang w:val="en-US" w:eastAsia="zh-CN"/>
        </w:rPr>
        <w:t xml:space="preserve">表1 </w:t>
      </w:r>
      <w:r>
        <w:rPr>
          <w:rFonts w:hint="eastAsia"/>
          <w:color w:val="auto"/>
          <w:szCs w:val="21"/>
        </w:rPr>
        <w:t>钠离子电池</w:t>
      </w:r>
      <w:r>
        <w:rPr>
          <w:rFonts w:hint="eastAsia"/>
          <w:color w:val="auto"/>
          <w:szCs w:val="21"/>
          <w:lang w:val="en-US" w:eastAsia="zh-CN"/>
        </w:rPr>
        <w:t>及</w:t>
      </w:r>
      <w:r>
        <w:rPr>
          <w:rFonts w:hint="eastAsia"/>
          <w:color w:val="auto"/>
          <w:szCs w:val="21"/>
        </w:rPr>
        <w:t>主流正极材料</w:t>
      </w:r>
      <w:r>
        <w:rPr>
          <w:rFonts w:hint="eastAsia"/>
          <w:color w:val="auto"/>
          <w:szCs w:val="21"/>
          <w:lang w:val="en-US" w:eastAsia="zh-CN"/>
        </w:rPr>
        <w:t>主要生产企业</w:t>
      </w:r>
    </w:p>
    <w:tbl>
      <w:tblPr>
        <w:tblStyle w:val="12"/>
        <w:tblW w:w="0" w:type="auto"/>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695"/>
        <w:gridCol w:w="2435"/>
        <w:gridCol w:w="5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Header/>
        </w:trPr>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​国家/企业</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​技术路线</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​进展与规划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trPr>
        <w:tc>
          <w:tcPr>
            <w:tcW w:w="9938" w:type="dxa"/>
            <w:gridSpan w:val="3"/>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​中国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宁德时代</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层状氧化物（镍锰钛酸钠）</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2023年发布第一代钠电池（160 Wh/kg），计划2025年量产；目标成本0.3元/Wh。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中科海钠</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同体系</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已建成2 GWh产线，产品用于安徽阜阳30 MWh储能电站；规划2025年扩产至10 GWh。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多氟多</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正极材料供应商</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2023年投产5000吨/年镍锰钛酸钠正极材料，配套电解液（NaPF₆）产能1万吨/年。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color w:val="000000" w:themeColor="text1"/>
                <w:sz w:val="21"/>
                <w:szCs w:val="21"/>
                <w14:textFill>
                  <w14:solidFill>
                    <w14:schemeClr w14:val="tx1"/>
                  </w14:solidFill>
                </w14:textFill>
              </w:rPr>
              <w:t>湖北万润</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正极材料供应商</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2023年量产镍锰钛酸钠正极材料。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938" w:type="dxa"/>
            <w:gridSpan w:val="3"/>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丰田</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P2型层状氧化物</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实验室阶段循环寿命＞1500次（1C），计划2025年试产车用钠电池。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c>
          <w:tcPr>
            <w:tcW w:w="9938" w:type="dxa"/>
            <w:gridSpan w:val="3"/>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韩国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三星SDI</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镍锰钛酸钠+硫化物固态电解质</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 w:val="21"/>
                <w:szCs w:val="21"/>
                <w:lang w:val="en-US" w:eastAsia="zh-CN"/>
              </w:rPr>
              <w:t>开发全固态钠电池原型（能量密度＞250 Wh/kg），目标2030年商业化。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938" w:type="dxa"/>
            <w:gridSpan w:val="3"/>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​欧美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美国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Natron Energy</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普鲁士蓝正极</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2023年建成1 GWh产线（主攻数据中心备用电源），层状氧化物研发滞后。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69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英国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Faradion</w:t>
            </w:r>
          </w:p>
        </w:tc>
        <w:tc>
          <w:tcPr>
            <w:tcW w:w="2435"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层状氧化物</w:t>
            </w:r>
          </w:p>
        </w:tc>
        <w:tc>
          <w:tcPr>
            <w:tcW w:w="5808" w:type="dxa"/>
            <w:tcBorders>
              <w:tl2br w:val="nil"/>
              <w:tr2bl w:val="nil"/>
            </w:tcBorders>
            <w:shd w:val="clear" w:color="auto" w:fill="auto"/>
            <w:tcMar>
              <w:top w:w="139" w:type="dxa"/>
              <w:left w:w="210" w:type="dxa"/>
              <w:bottom w:w="139" w:type="dxa"/>
              <w:right w:w="21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与印度Reliance合作开发储能系统，镍锰钛酸钠体系循环寿命＞2000次。</w:t>
            </w:r>
          </w:p>
        </w:tc>
      </w:tr>
    </w:tbl>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color w:val="auto"/>
          <w:sz w:val="21"/>
          <w:szCs w:val="21"/>
          <w:lang w:val="en-US" w:eastAsia="zh-CN"/>
        </w:rPr>
      </w:pPr>
      <w:r>
        <w:rPr>
          <w:rFonts w:hint="eastAsia"/>
          <w:color w:val="auto"/>
          <w:sz w:val="21"/>
          <w:szCs w:val="21"/>
          <w:lang w:val="en-US" w:eastAsia="zh-CN"/>
        </w:rPr>
        <w:t>另外，</w:t>
      </w:r>
      <w:r>
        <w:rPr>
          <w:rFonts w:hint="eastAsia"/>
          <w:color w:val="auto"/>
          <w:sz w:val="21"/>
          <w:szCs w:val="21"/>
        </w:rPr>
        <w:t>法国NAIADES计划团体、日本岸田化学、松下、三菱化学，以及</w:t>
      </w:r>
      <w:r>
        <w:rPr>
          <w:rFonts w:hint="eastAsia"/>
          <w:color w:val="auto"/>
          <w:sz w:val="21"/>
          <w:szCs w:val="21"/>
          <w:lang w:val="en-US" w:eastAsia="zh-CN"/>
        </w:rPr>
        <w:t>我国的</w:t>
      </w:r>
      <w:r>
        <w:rPr>
          <w:rFonts w:hint="eastAsia"/>
          <w:color w:val="auto"/>
          <w:sz w:val="21"/>
          <w:szCs w:val="21"/>
        </w:rPr>
        <w:t>浙江钠创新能源有限公司、广东邦普、容百科技、蜂巢能源等</w:t>
      </w:r>
      <w:r>
        <w:rPr>
          <w:rFonts w:hint="eastAsia"/>
          <w:color w:val="auto"/>
          <w:sz w:val="21"/>
          <w:szCs w:val="21"/>
          <w:lang w:val="en-US" w:eastAsia="zh-CN"/>
        </w:rPr>
        <w:t>公司对此材料研制、开发、生产均有所涉及</w:t>
      </w:r>
      <w:r>
        <w:rPr>
          <w:rFonts w:hint="eastAsia"/>
          <w:color w:val="auto"/>
          <w:sz w:val="21"/>
          <w:szCs w:val="21"/>
        </w:rPr>
        <w:t>。</w:t>
      </w:r>
    </w:p>
    <w:p>
      <w:pPr>
        <w:widowControl w:val="0"/>
        <w:spacing w:after="156" w:afterLines="50" w:line="240" w:lineRule="auto"/>
        <w:jc w:val="both"/>
        <w:outlineLvl w:val="1"/>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(二 )主要工作过程</w:t>
      </w:r>
    </w:p>
    <w:p>
      <w:pPr>
        <w:widowControl w:val="0"/>
        <w:spacing w:after="156" w:afterLines="50" w:line="240" w:lineRule="auto"/>
        <w:jc w:val="both"/>
        <w:outlineLvl w:val="1"/>
        <w:rPr>
          <w:rFonts w:hint="default"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1、立项阶段（2023.8～2024.8）</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eastAsia"/>
          <w:color w:val="auto"/>
          <w:sz w:val="21"/>
          <w:szCs w:val="21"/>
        </w:rPr>
      </w:pPr>
      <w:r>
        <w:rPr>
          <w:rFonts w:hint="eastAsia"/>
          <w:color w:val="auto"/>
          <w:sz w:val="21"/>
          <w:szCs w:val="21"/>
        </w:rPr>
        <w:t>202</w:t>
      </w:r>
      <w:r>
        <w:rPr>
          <w:rFonts w:hint="eastAsia"/>
          <w:color w:val="auto"/>
          <w:sz w:val="21"/>
          <w:szCs w:val="21"/>
          <w:lang w:val="en-US" w:eastAsia="zh-CN"/>
        </w:rPr>
        <w:t>3</w:t>
      </w:r>
      <w:r>
        <w:rPr>
          <w:rFonts w:hint="eastAsia"/>
          <w:color w:val="auto"/>
          <w:sz w:val="21"/>
          <w:szCs w:val="21"/>
        </w:rPr>
        <w:t>年</w:t>
      </w:r>
      <w:r>
        <w:rPr>
          <w:rFonts w:hint="eastAsia"/>
          <w:color w:val="auto"/>
          <w:sz w:val="21"/>
          <w:szCs w:val="21"/>
          <w:lang w:val="en-US" w:eastAsia="zh-CN"/>
        </w:rPr>
        <w:t>8</w:t>
      </w:r>
      <w:r>
        <w:rPr>
          <w:rFonts w:hint="eastAsia"/>
          <w:color w:val="auto"/>
          <w:sz w:val="21"/>
          <w:szCs w:val="21"/>
        </w:rPr>
        <w:t>月，</w:t>
      </w:r>
      <w:r>
        <w:rPr>
          <w:rFonts w:hint="eastAsia"/>
          <w:color w:val="auto"/>
          <w:sz w:val="21"/>
          <w:szCs w:val="21"/>
          <w:lang w:val="en-US" w:eastAsia="zh-CN"/>
        </w:rPr>
        <w:t>由湖北万润新能源科技股份有限公司</w:t>
      </w:r>
      <w:r>
        <w:rPr>
          <w:rFonts w:hint="eastAsia"/>
          <w:color w:val="auto"/>
          <w:sz w:val="21"/>
          <w:szCs w:val="21"/>
        </w:rPr>
        <w:t>向全国化学标准化技术委员会无机化工分技术委员会(TC63/SC1)提交</w:t>
      </w:r>
      <w:r>
        <w:rPr>
          <w:rFonts w:hint="eastAsia"/>
          <w:color w:val="auto"/>
          <w:sz w:val="21"/>
          <w:szCs w:val="21"/>
          <w:lang w:val="en-US" w:eastAsia="zh-CN"/>
        </w:rPr>
        <w:t>行业</w:t>
      </w:r>
      <w:r>
        <w:rPr>
          <w:rFonts w:hint="eastAsia"/>
          <w:color w:val="auto"/>
          <w:sz w:val="21"/>
          <w:szCs w:val="21"/>
        </w:rPr>
        <w:t>标准《钠离子电池用</w:t>
      </w:r>
      <w:r>
        <w:rPr>
          <w:rFonts w:hint="eastAsia"/>
          <w:color w:val="auto"/>
          <w:sz w:val="21"/>
          <w:szCs w:val="21"/>
          <w:lang w:eastAsia="zh-CN"/>
        </w:rPr>
        <w:t>镍锰</w:t>
      </w:r>
      <w:r>
        <w:rPr>
          <w:rFonts w:hint="eastAsia"/>
          <w:color w:val="auto"/>
          <w:sz w:val="21"/>
          <w:szCs w:val="21"/>
          <w:lang w:val="en-US" w:eastAsia="zh-CN"/>
        </w:rPr>
        <w:t>钛</w:t>
      </w:r>
      <w:r>
        <w:rPr>
          <w:rFonts w:hint="eastAsia"/>
          <w:color w:val="auto"/>
          <w:sz w:val="21"/>
          <w:szCs w:val="21"/>
          <w:lang w:eastAsia="zh-CN"/>
        </w:rPr>
        <w:t>酸钠</w:t>
      </w:r>
      <w:r>
        <w:rPr>
          <w:rFonts w:hint="eastAsia"/>
          <w:color w:val="auto"/>
          <w:sz w:val="21"/>
          <w:szCs w:val="21"/>
        </w:rPr>
        <w:t>》项目建议书。</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color w:val="auto"/>
          <w:sz w:val="21"/>
          <w:szCs w:val="21"/>
        </w:rPr>
      </w:pPr>
      <w:r>
        <w:rPr>
          <w:rFonts w:hint="eastAsia"/>
          <w:color w:val="auto"/>
          <w:sz w:val="21"/>
          <w:szCs w:val="21"/>
        </w:rPr>
        <w:t>202</w:t>
      </w:r>
      <w:r>
        <w:rPr>
          <w:rFonts w:hint="eastAsia"/>
          <w:color w:val="auto"/>
          <w:sz w:val="21"/>
          <w:szCs w:val="21"/>
          <w:lang w:val="en-US" w:eastAsia="zh-CN"/>
        </w:rPr>
        <w:t>4</w:t>
      </w:r>
      <w:r>
        <w:rPr>
          <w:rFonts w:hint="eastAsia"/>
          <w:color w:val="auto"/>
          <w:sz w:val="21"/>
          <w:szCs w:val="21"/>
        </w:rPr>
        <w:t>年8月</w:t>
      </w:r>
      <w:r>
        <w:rPr>
          <w:rFonts w:hint="eastAsia"/>
          <w:color w:val="auto"/>
          <w:sz w:val="21"/>
          <w:szCs w:val="21"/>
          <w:lang w:val="en-US" w:eastAsia="zh-CN"/>
        </w:rPr>
        <w:t>14</w:t>
      </w:r>
      <w:r>
        <w:rPr>
          <w:rFonts w:hint="eastAsia"/>
          <w:color w:val="auto"/>
          <w:sz w:val="21"/>
          <w:szCs w:val="21"/>
        </w:rPr>
        <w:t>日，工业和信息化部办公厅印发《工业和信息化部办公厅关于印发2024年第三批行业标准制修订计划的通知》（工信厅科函〔2024〕317号），</w:t>
      </w:r>
      <w:r>
        <w:rPr>
          <w:rFonts w:hint="eastAsia"/>
          <w:color w:val="auto"/>
          <w:sz w:val="21"/>
          <w:szCs w:val="21"/>
          <w:lang w:val="en-US" w:eastAsia="zh-CN"/>
        </w:rPr>
        <w:t>行业</w:t>
      </w:r>
      <w:r>
        <w:rPr>
          <w:rFonts w:hint="eastAsia"/>
          <w:color w:val="auto"/>
          <w:sz w:val="21"/>
          <w:szCs w:val="21"/>
        </w:rPr>
        <w:t>标准《钠离子电池用</w:t>
      </w:r>
      <w:r>
        <w:rPr>
          <w:rFonts w:hint="eastAsia"/>
          <w:color w:val="auto"/>
          <w:sz w:val="21"/>
          <w:szCs w:val="21"/>
          <w:lang w:eastAsia="zh-CN"/>
        </w:rPr>
        <w:t>镍锰</w:t>
      </w:r>
      <w:r>
        <w:rPr>
          <w:rFonts w:hint="eastAsia"/>
          <w:color w:val="auto"/>
          <w:sz w:val="21"/>
          <w:szCs w:val="21"/>
          <w:lang w:val="en-US" w:eastAsia="zh-CN"/>
        </w:rPr>
        <w:t>钛</w:t>
      </w:r>
      <w:r>
        <w:rPr>
          <w:rFonts w:hint="eastAsia"/>
          <w:color w:val="auto"/>
          <w:sz w:val="21"/>
          <w:szCs w:val="21"/>
          <w:lang w:eastAsia="zh-CN"/>
        </w:rPr>
        <w:t>酸钠</w:t>
      </w:r>
      <w:r>
        <w:rPr>
          <w:rFonts w:hint="eastAsia"/>
          <w:color w:val="auto"/>
          <w:sz w:val="21"/>
          <w:szCs w:val="21"/>
        </w:rPr>
        <w:t>》成功立项。</w:t>
      </w:r>
    </w:p>
    <w:p>
      <w:pPr>
        <w:widowControl w:val="0"/>
        <w:spacing w:after="156" w:afterLines="50" w:line="240" w:lineRule="auto"/>
        <w:jc w:val="both"/>
        <w:outlineLvl w:val="1"/>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2、起草阶段（2024.8～2025.3）</w:t>
      </w:r>
    </w:p>
    <w:p>
      <w:pPr>
        <w:spacing w:line="340" w:lineRule="exact"/>
        <w:ind w:firstLine="420"/>
        <w:rPr>
          <w:rFonts w:hint="eastAsia" w:ascii="黑体" w:hAnsi="黑体" w:eastAsia="黑体" w:cs="黑体"/>
          <w:szCs w:val="21"/>
        </w:rPr>
      </w:pPr>
      <w:r>
        <w:rPr>
          <w:rFonts w:hint="eastAsia" w:ascii="黑体" w:hAnsi="黑体" w:eastAsia="黑体" w:cs="黑体"/>
          <w:szCs w:val="21"/>
          <w:lang w:eastAsia="zh-CN"/>
        </w:rPr>
        <w:t>（</w:t>
      </w:r>
      <w:r>
        <w:rPr>
          <w:rFonts w:hint="eastAsia" w:ascii="黑体" w:hAnsi="黑体" w:eastAsia="黑体" w:cs="黑体"/>
          <w:szCs w:val="21"/>
        </w:rPr>
        <w:t>1）起草工作组</w:t>
      </w:r>
    </w:p>
    <w:p>
      <w:pPr>
        <w:spacing w:line="340" w:lineRule="exact"/>
        <w:ind w:firstLine="420"/>
        <w:rPr>
          <w:rFonts w:ascii="黑体" w:hAnsi="黑体" w:cs="黑体"/>
          <w:szCs w:val="21"/>
        </w:rPr>
      </w:pPr>
      <w:r>
        <w:rPr>
          <w:rFonts w:hint="eastAsia"/>
          <w:szCs w:val="21"/>
        </w:rPr>
        <w:t>由</w:t>
      </w:r>
      <w:r>
        <w:rPr>
          <w:rFonts w:hint="eastAsia"/>
          <w:color w:val="auto"/>
          <w:sz w:val="21"/>
          <w:szCs w:val="21"/>
          <w:lang w:val="en-US" w:eastAsia="zh-CN"/>
        </w:rPr>
        <w:t>湖北万润新能源科技股份有限公司</w:t>
      </w:r>
      <w:r>
        <w:rPr>
          <w:rFonts w:hint="eastAsia"/>
          <w:color w:val="auto"/>
          <w:sz w:val="21"/>
          <w:szCs w:val="21"/>
          <w:lang w:eastAsia="zh-CN"/>
        </w:rPr>
        <w:t>、</w:t>
      </w:r>
      <w:r>
        <w:rPr>
          <w:rFonts w:hint="eastAsia"/>
          <w:sz w:val="21"/>
          <w:szCs w:val="21"/>
        </w:rPr>
        <w:t>湖北万润新能源科技股份有限公司、</w:t>
      </w:r>
      <w:r>
        <w:rPr>
          <w:rFonts w:hint="eastAsia"/>
          <w:strike w:val="0"/>
          <w:dstrike w:val="0"/>
          <w:sz w:val="21"/>
          <w:szCs w:val="21"/>
        </w:rPr>
        <w:t>厦门厦钨新能源材料股份有限公司、北京当升材料科技股份有限公司、</w:t>
      </w:r>
      <w:r>
        <w:rPr>
          <w:rFonts w:hint="eastAsia"/>
          <w:strike w:val="0"/>
          <w:dstrike w:val="0"/>
          <w:sz w:val="21"/>
          <w:szCs w:val="21"/>
          <w:lang w:val="en-US" w:eastAsia="zh-CN"/>
        </w:rPr>
        <w:t>湖南</w:t>
      </w:r>
      <w:r>
        <w:rPr>
          <w:rFonts w:hint="eastAsia"/>
          <w:strike w:val="0"/>
          <w:dstrike w:val="0"/>
          <w:sz w:val="21"/>
          <w:szCs w:val="21"/>
        </w:rPr>
        <w:t>中伟新材料股份有限公司、格林美股份有限公司、广东邦普循环科技有限公司</w:t>
      </w:r>
      <w:r>
        <w:rPr>
          <w:rFonts w:hint="eastAsia"/>
          <w:strike w:val="0"/>
          <w:dstrike w:val="0"/>
          <w:sz w:val="21"/>
          <w:szCs w:val="21"/>
          <w:lang w:eastAsia="zh-CN"/>
        </w:rPr>
        <w:t>、湖北容百锂电材料有限公司</w:t>
      </w:r>
      <w:r>
        <w:rPr>
          <w:rFonts w:hint="eastAsia" w:ascii="宋体" w:hAnsi="宋体"/>
          <w:color w:val="auto"/>
          <w:lang w:val="en-US" w:eastAsia="zh-CN"/>
        </w:rPr>
        <w:t>、中海油天津化工研究设计院有限公司</w:t>
      </w:r>
      <w:r>
        <w:rPr>
          <w:rFonts w:hint="eastAsia"/>
          <w:bCs/>
          <w:color w:val="auto"/>
        </w:rPr>
        <w:t>等单位</w:t>
      </w:r>
      <w:r>
        <w:rPr>
          <w:rFonts w:hint="eastAsia"/>
          <w:szCs w:val="21"/>
        </w:rPr>
        <w:t>组成起草标准工作组</w:t>
      </w:r>
      <w:r>
        <w:rPr>
          <w:rFonts w:hint="eastAsia"/>
          <w:color w:val="000000"/>
          <w:szCs w:val="21"/>
        </w:rPr>
        <w:t>。</w:t>
      </w:r>
    </w:p>
    <w:p>
      <w:pPr>
        <w:spacing w:line="340" w:lineRule="exact"/>
        <w:ind w:firstLine="420"/>
        <w:rPr>
          <w:rFonts w:ascii="黑体" w:hAnsi="黑体" w:eastAsia="黑体" w:cs="黑体"/>
          <w:szCs w:val="21"/>
        </w:rPr>
      </w:pPr>
      <w:r>
        <w:rPr>
          <w:rFonts w:hint="eastAsia" w:ascii="黑体" w:hAnsi="黑体" w:eastAsia="黑体" w:cs="黑体"/>
          <w:szCs w:val="21"/>
          <w:lang w:eastAsia="zh-CN"/>
        </w:rPr>
        <w:t>（</w:t>
      </w:r>
      <w:r>
        <w:rPr>
          <w:rFonts w:hint="eastAsia" w:ascii="黑体" w:hAnsi="黑体" w:eastAsia="黑体" w:cs="黑体"/>
          <w:szCs w:val="21"/>
        </w:rPr>
        <w:t>2）分工情况</w:t>
      </w:r>
    </w:p>
    <w:p>
      <w:pPr>
        <w:tabs>
          <w:tab w:val="left" w:pos="7573"/>
        </w:tabs>
        <w:spacing w:line="340" w:lineRule="exact"/>
        <w:ind w:firstLine="420"/>
        <w:rPr>
          <w:rFonts w:ascii="黑体" w:hAnsi="黑体" w:eastAsia="黑体" w:cs="黑体"/>
          <w:szCs w:val="21"/>
        </w:rPr>
      </w:pPr>
      <w:r>
        <w:rPr>
          <w:rFonts w:hint="eastAsia" w:ascii="宋体" w:hAnsi="宋体"/>
          <w:color w:val="auto"/>
          <w:lang w:val="en-US" w:eastAsia="zh-CN"/>
        </w:rPr>
        <w:t>中海油天津化工研究设计院有限公司、</w:t>
      </w:r>
      <w:r>
        <w:rPr>
          <w:rFonts w:hint="eastAsia"/>
          <w:sz w:val="21"/>
          <w:szCs w:val="21"/>
        </w:rPr>
        <w:t>湖北万润新能源科技股份有限公司负责调研新能源行业钠离子电池正极材料</w:t>
      </w:r>
      <w:r>
        <w:rPr>
          <w:rFonts w:hint="eastAsia"/>
          <w:sz w:val="21"/>
          <w:szCs w:val="21"/>
          <w:lang w:val="en-US" w:eastAsia="zh-CN"/>
        </w:rPr>
        <w:t>镍锰钛酸</w:t>
      </w:r>
      <w:r>
        <w:rPr>
          <w:rFonts w:hint="eastAsia"/>
          <w:sz w:val="21"/>
          <w:szCs w:val="21"/>
        </w:rPr>
        <w:t>钠的各项指标情况，组织开展试验验证并进行数据分析，形成统一的产品技术要求，撰写标准文本和编制说明等。</w:t>
      </w:r>
      <w:r>
        <w:rPr>
          <w:rFonts w:hint="eastAsia"/>
          <w:strike w:val="0"/>
          <w:dstrike w:val="0"/>
          <w:sz w:val="21"/>
          <w:szCs w:val="21"/>
        </w:rPr>
        <w:t>厦门厦钨新能源材料股份有限公司、北京当升材料科技股份有限公司、</w:t>
      </w:r>
      <w:r>
        <w:rPr>
          <w:rFonts w:hint="eastAsia"/>
          <w:strike w:val="0"/>
          <w:dstrike w:val="0"/>
          <w:sz w:val="21"/>
          <w:szCs w:val="21"/>
          <w:lang w:val="en-US" w:eastAsia="zh-CN"/>
        </w:rPr>
        <w:t>湖南</w:t>
      </w:r>
      <w:r>
        <w:rPr>
          <w:rFonts w:hint="eastAsia"/>
          <w:strike w:val="0"/>
          <w:dstrike w:val="0"/>
          <w:sz w:val="21"/>
          <w:szCs w:val="21"/>
        </w:rPr>
        <w:t>中伟新材料股份有限公司、格林美股份有限公司、广东邦普循环科技有限公司</w:t>
      </w:r>
      <w:r>
        <w:rPr>
          <w:rFonts w:hint="eastAsia"/>
          <w:strike w:val="0"/>
          <w:dstrike w:val="0"/>
          <w:sz w:val="21"/>
          <w:szCs w:val="21"/>
          <w:lang w:eastAsia="zh-CN"/>
        </w:rPr>
        <w:t>、湖北容百锂电材料有限公司</w:t>
      </w:r>
      <w:r>
        <w:rPr>
          <w:rFonts w:hint="eastAsia" w:ascii="宋体" w:hAnsi="宋体" w:cs="宋体"/>
          <w:sz w:val="21"/>
          <w:szCs w:val="21"/>
        </w:rPr>
        <w:t>等</w:t>
      </w:r>
      <w:r>
        <w:rPr>
          <w:rFonts w:hint="eastAsia"/>
          <w:sz w:val="21"/>
          <w:szCs w:val="21"/>
        </w:rPr>
        <w:t>单位负责提供本单位的产品技术规范、参与试验验证，对标准文本提出修改意见。</w:t>
      </w:r>
      <w:r>
        <w:rPr>
          <w:rFonts w:hint="eastAsia"/>
          <w:color w:val="auto"/>
          <w:sz w:val="21"/>
          <w:szCs w:val="21"/>
          <w:lang w:val="en-US" w:eastAsia="zh-CN"/>
        </w:rPr>
        <w:t>湖北万润新能源科技股份有限公司</w:t>
      </w:r>
      <w:r>
        <w:rPr>
          <w:rFonts w:hint="eastAsia" w:ascii="宋体" w:hAnsi="宋体" w:cs="宋体"/>
          <w:szCs w:val="21"/>
        </w:rPr>
        <w:t>主要负责资料收集、编写文献小结、召开标准工作方案会、数据统计、编写标准各阶段草案、编制说明及相关附件等工作。其他单位主要负责试验方法验证及数据累积工作。</w:t>
      </w:r>
      <w:r>
        <w:rPr>
          <w:rFonts w:hint="eastAsia" w:ascii="黑体" w:hAnsi="黑体" w:eastAsia="黑体" w:cs="黑体"/>
          <w:szCs w:val="21"/>
        </w:rPr>
        <w:tab/>
      </w:r>
    </w:p>
    <w:p>
      <w:pPr>
        <w:spacing w:line="340" w:lineRule="exact"/>
        <w:ind w:firstLine="420"/>
        <w:rPr>
          <w:rFonts w:ascii="黑体" w:hAnsi="黑体" w:eastAsia="黑体" w:cs="黑体"/>
          <w:szCs w:val="21"/>
        </w:rPr>
      </w:pPr>
      <w:r>
        <w:rPr>
          <w:rFonts w:hint="eastAsia" w:ascii="黑体" w:hAnsi="黑体" w:eastAsia="黑体" w:cs="黑体"/>
          <w:szCs w:val="21"/>
          <w:lang w:eastAsia="zh-CN"/>
        </w:rPr>
        <w:t>（</w:t>
      </w:r>
      <w:r>
        <w:rPr>
          <w:rFonts w:hint="eastAsia" w:ascii="黑体" w:hAnsi="黑体" w:eastAsia="黑体" w:cs="黑体"/>
          <w:szCs w:val="21"/>
        </w:rPr>
        <w:t>3）调查研究过程</w:t>
      </w:r>
    </w:p>
    <w:p>
      <w:pPr>
        <w:spacing w:line="340" w:lineRule="exact"/>
        <w:ind w:firstLine="420"/>
        <w:rPr>
          <w:szCs w:val="21"/>
        </w:rPr>
      </w:pPr>
      <w:r>
        <w:rPr>
          <w:rFonts w:hint="eastAsia" w:ascii="宋体" w:hAnsi="宋体"/>
          <w:color w:val="auto"/>
          <w:lang w:val="en-US" w:eastAsia="zh-CN"/>
        </w:rPr>
        <w:t>中海油天津化工研究设计院有限公司、</w:t>
      </w:r>
      <w:r>
        <w:rPr>
          <w:rFonts w:hint="eastAsia"/>
          <w:sz w:val="21"/>
          <w:szCs w:val="21"/>
        </w:rPr>
        <w:t>湖北万润新能源科技股份有限公司</w:t>
      </w:r>
      <w:r>
        <w:rPr>
          <w:szCs w:val="21"/>
        </w:rPr>
        <w:t>接到上级部门下达的</w:t>
      </w:r>
      <w:r>
        <w:rPr>
          <w:rFonts w:hint="eastAsia"/>
          <w:szCs w:val="21"/>
        </w:rPr>
        <w:t>制定</w:t>
      </w:r>
      <w:r>
        <w:rPr>
          <w:szCs w:val="21"/>
        </w:rPr>
        <w:t>标准计划后，</w:t>
      </w:r>
      <w:r>
        <w:rPr>
          <w:rFonts w:hint="eastAsia"/>
          <w:szCs w:val="21"/>
        </w:rPr>
        <w:t>于2</w:t>
      </w:r>
      <w:r>
        <w:rPr>
          <w:szCs w:val="21"/>
        </w:rPr>
        <w:t>02</w:t>
      </w:r>
      <w:r>
        <w:rPr>
          <w:rFonts w:hint="eastAsia"/>
          <w:szCs w:val="21"/>
          <w:lang w:val="en-US" w:eastAsia="zh-CN"/>
        </w:rPr>
        <w:t>4</w:t>
      </w:r>
      <w:r>
        <w:rPr>
          <w:rFonts w:hint="eastAsia"/>
          <w:szCs w:val="21"/>
        </w:rPr>
        <w:t>年</w:t>
      </w:r>
      <w:r>
        <w:rPr>
          <w:rFonts w:hint="eastAsia"/>
          <w:szCs w:val="21"/>
          <w:lang w:val="en-US" w:eastAsia="zh-CN"/>
        </w:rPr>
        <w:t>8</w:t>
      </w:r>
      <w:r>
        <w:rPr>
          <w:rFonts w:hint="eastAsia"/>
          <w:szCs w:val="21"/>
        </w:rPr>
        <w:t>月～2</w:t>
      </w:r>
      <w:r>
        <w:rPr>
          <w:szCs w:val="21"/>
        </w:rPr>
        <w:t>02</w:t>
      </w:r>
      <w:r>
        <w:rPr>
          <w:rFonts w:hint="eastAsia"/>
          <w:szCs w:val="21"/>
          <w:lang w:val="en-US" w:eastAsia="zh-CN"/>
        </w:rPr>
        <w:t>4</w:t>
      </w:r>
      <w:r>
        <w:rPr>
          <w:rFonts w:hint="eastAsia"/>
          <w:szCs w:val="21"/>
        </w:rPr>
        <w:t>年</w:t>
      </w:r>
      <w:r>
        <w:rPr>
          <w:szCs w:val="21"/>
        </w:rPr>
        <w:t>1</w:t>
      </w:r>
      <w:r>
        <w:rPr>
          <w:rFonts w:hint="eastAsia"/>
          <w:szCs w:val="21"/>
          <w:lang w:val="en-US" w:eastAsia="zh-CN"/>
        </w:rPr>
        <w:t>2</w:t>
      </w:r>
      <w:r>
        <w:rPr>
          <w:rFonts w:hint="eastAsia"/>
          <w:szCs w:val="21"/>
        </w:rPr>
        <w:t>月</w:t>
      </w:r>
      <w:r>
        <w:rPr>
          <w:rFonts w:hint="eastAsia" w:ascii="宋体" w:hAnsi="宋体"/>
          <w:szCs w:val="21"/>
        </w:rPr>
        <w:t>进行了调研及资料准备工作。首先</w:t>
      </w:r>
      <w:r>
        <w:rPr>
          <w:szCs w:val="21"/>
        </w:rPr>
        <w:t>查阅了国内外标准及有关技术资料，并向生产、使用单位发函进行调查</w:t>
      </w:r>
      <w:r>
        <w:rPr>
          <w:rFonts w:hint="eastAsia"/>
          <w:szCs w:val="21"/>
        </w:rPr>
        <w:t>，</w:t>
      </w:r>
      <w:r>
        <w:rPr>
          <w:szCs w:val="21"/>
        </w:rPr>
        <w:t>广泛征求对标准</w:t>
      </w:r>
      <w:r>
        <w:rPr>
          <w:rFonts w:hint="eastAsia"/>
          <w:szCs w:val="21"/>
        </w:rPr>
        <w:t>制定</w:t>
      </w:r>
      <w:r>
        <w:rPr>
          <w:szCs w:val="21"/>
        </w:rPr>
        <w:t>工作的意见，在此基础上提出了文献小结。</w:t>
      </w:r>
    </w:p>
    <w:p>
      <w:pPr>
        <w:spacing w:line="340" w:lineRule="exact"/>
        <w:ind w:firstLine="420"/>
        <w:rPr>
          <w:rFonts w:hint="eastAsia"/>
          <w:color w:val="auto"/>
          <w:sz w:val="21"/>
          <w:szCs w:val="21"/>
        </w:rPr>
      </w:pPr>
      <w:r>
        <w:rPr>
          <w:rFonts w:hint="eastAsia"/>
          <w:color w:val="auto"/>
          <w:sz w:val="21"/>
          <w:szCs w:val="21"/>
        </w:rPr>
        <w:t>202</w:t>
      </w:r>
      <w:r>
        <w:rPr>
          <w:rFonts w:hint="eastAsia"/>
          <w:color w:val="auto"/>
          <w:sz w:val="21"/>
          <w:szCs w:val="21"/>
          <w:lang w:val="en-US" w:eastAsia="zh-CN"/>
        </w:rPr>
        <w:t>5</w:t>
      </w:r>
      <w:r>
        <w:rPr>
          <w:rFonts w:hint="eastAsia"/>
          <w:color w:val="auto"/>
          <w:sz w:val="21"/>
          <w:szCs w:val="21"/>
        </w:rPr>
        <w:t>年</w:t>
      </w:r>
      <w:r>
        <w:rPr>
          <w:rFonts w:hint="eastAsia"/>
          <w:color w:val="auto"/>
          <w:sz w:val="21"/>
          <w:szCs w:val="21"/>
          <w:lang w:val="en-US" w:eastAsia="zh-CN"/>
        </w:rPr>
        <w:t>1</w:t>
      </w:r>
      <w:r>
        <w:rPr>
          <w:rFonts w:hint="eastAsia"/>
          <w:color w:val="auto"/>
          <w:sz w:val="21"/>
          <w:szCs w:val="21"/>
        </w:rPr>
        <w:t>月全国化学标准化技术委员会无机化工分技术委员会</w:t>
      </w:r>
      <w:r>
        <w:rPr>
          <w:rFonts w:hint="eastAsia"/>
          <w:szCs w:val="21"/>
        </w:rPr>
        <w:t>通过腾讯会议在线</w:t>
      </w:r>
      <w:r>
        <w:rPr>
          <w:szCs w:val="21"/>
        </w:rPr>
        <w:t>召开了</w:t>
      </w:r>
      <w:r>
        <w:rPr>
          <w:rFonts w:hint="eastAsia"/>
          <w:szCs w:val="21"/>
        </w:rPr>
        <w:t>制定</w:t>
      </w:r>
      <w:r>
        <w:rPr>
          <w:szCs w:val="21"/>
        </w:rPr>
        <w:t>标准工作方案会</w:t>
      </w:r>
      <w:r>
        <w:rPr>
          <w:rFonts w:hint="eastAsia"/>
          <w:color w:val="auto"/>
          <w:sz w:val="21"/>
          <w:szCs w:val="21"/>
        </w:rPr>
        <w:t>。来自</w:t>
      </w:r>
      <w:r>
        <w:rPr>
          <w:rFonts w:hint="eastAsia"/>
          <w:color w:val="auto"/>
          <w:sz w:val="21"/>
          <w:szCs w:val="21"/>
          <w:lang w:val="en-US" w:eastAsia="zh-CN"/>
        </w:rPr>
        <w:t>湖北万润新能源科技股份有限公司</w:t>
      </w:r>
      <w:r>
        <w:rPr>
          <w:rFonts w:hint="eastAsia"/>
          <w:color w:val="auto"/>
          <w:sz w:val="21"/>
          <w:szCs w:val="21"/>
        </w:rPr>
        <w:t>、格林美股份有限公司、湖南中伟新能源科技有限公司</w:t>
      </w:r>
      <w:r>
        <w:rPr>
          <w:rFonts w:hint="eastAsia"/>
          <w:color w:val="auto"/>
          <w:sz w:val="21"/>
          <w:szCs w:val="21"/>
          <w:lang w:eastAsia="zh-CN"/>
        </w:rPr>
        <w:t>、</w:t>
      </w:r>
      <w:r>
        <w:rPr>
          <w:rFonts w:hint="eastAsia"/>
          <w:color w:val="auto"/>
          <w:sz w:val="21"/>
          <w:szCs w:val="21"/>
        </w:rPr>
        <w:t>北京当升材料科技股份有限公司、天津国安盟固利新材料科技股份有限公司</w:t>
      </w:r>
      <w:r>
        <w:rPr>
          <w:rFonts w:hint="eastAsia"/>
          <w:color w:val="auto"/>
          <w:sz w:val="21"/>
          <w:szCs w:val="21"/>
          <w:lang w:eastAsia="zh-CN"/>
        </w:rPr>
        <w:t>、</w:t>
      </w:r>
      <w:r>
        <w:rPr>
          <w:rFonts w:hint="eastAsia"/>
          <w:color w:val="auto"/>
          <w:sz w:val="21"/>
          <w:szCs w:val="21"/>
        </w:rPr>
        <w:t>广东邦普循环科技有限公司、蜂巢能源科技有限公司、浙江华友钴业股份有限公司、湖南长远锂科股份有限公司</w:t>
      </w:r>
      <w:r>
        <w:rPr>
          <w:rFonts w:hint="eastAsia"/>
          <w:color w:val="auto"/>
          <w:sz w:val="21"/>
          <w:szCs w:val="21"/>
          <w:lang w:val="en-US" w:eastAsia="zh-CN"/>
        </w:rPr>
        <w:t>的</w:t>
      </w:r>
      <w:r>
        <w:rPr>
          <w:rFonts w:hint="eastAsia"/>
          <w:color w:val="auto"/>
          <w:sz w:val="21"/>
          <w:szCs w:val="21"/>
        </w:rPr>
        <w:t>代表参加了会议。会议明确了由</w:t>
      </w:r>
      <w:r>
        <w:rPr>
          <w:rFonts w:hint="eastAsia"/>
          <w:color w:val="auto"/>
          <w:sz w:val="21"/>
          <w:szCs w:val="21"/>
          <w:lang w:val="en-US" w:eastAsia="zh-CN"/>
        </w:rPr>
        <w:t>湖北万润新能源科技股份有限公司</w:t>
      </w:r>
      <w:r>
        <w:rPr>
          <w:rFonts w:hint="eastAsia"/>
          <w:color w:val="auto"/>
          <w:sz w:val="21"/>
          <w:szCs w:val="21"/>
        </w:rPr>
        <w:t>落实《钠离子电池用</w:t>
      </w:r>
      <w:r>
        <w:rPr>
          <w:rFonts w:hint="eastAsia"/>
          <w:color w:val="auto"/>
          <w:sz w:val="21"/>
          <w:szCs w:val="21"/>
          <w:lang w:eastAsia="zh-CN"/>
        </w:rPr>
        <w:t>镍锰</w:t>
      </w:r>
      <w:r>
        <w:rPr>
          <w:rFonts w:hint="eastAsia"/>
          <w:color w:val="auto"/>
          <w:sz w:val="21"/>
          <w:szCs w:val="21"/>
          <w:lang w:val="en-US" w:eastAsia="zh-CN"/>
        </w:rPr>
        <w:t>钛</w:t>
      </w:r>
      <w:r>
        <w:rPr>
          <w:rFonts w:hint="eastAsia"/>
          <w:color w:val="auto"/>
          <w:sz w:val="21"/>
          <w:szCs w:val="21"/>
          <w:lang w:eastAsia="zh-CN"/>
        </w:rPr>
        <w:t>酸钠</w:t>
      </w:r>
      <w:r>
        <w:rPr>
          <w:rFonts w:hint="eastAsia"/>
          <w:color w:val="auto"/>
          <w:sz w:val="21"/>
          <w:szCs w:val="21"/>
        </w:rPr>
        <w:t>》</w:t>
      </w:r>
      <w:r>
        <w:rPr>
          <w:rFonts w:hint="eastAsia"/>
          <w:color w:val="auto"/>
          <w:sz w:val="21"/>
          <w:szCs w:val="21"/>
          <w:lang w:val="en-US" w:eastAsia="zh-CN"/>
        </w:rPr>
        <w:t>化工行业制定</w:t>
      </w:r>
      <w:r>
        <w:rPr>
          <w:rFonts w:hint="eastAsia"/>
          <w:color w:val="auto"/>
          <w:sz w:val="21"/>
          <w:szCs w:val="21"/>
        </w:rPr>
        <w:t>编制工作，组织成立了行业标准编制组，对目标任务进行了分解，明确成员的任务要求，制定工作计划和进度安排。</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szCs w:val="21"/>
        </w:rPr>
      </w:pPr>
      <w:r>
        <w:rPr>
          <w:rFonts w:hint="eastAsia" w:ascii="宋体" w:hAnsi="宋体" w:cs="宋体"/>
          <w:szCs w:val="21"/>
        </w:rPr>
        <w:t>标准编制组工作成员通过各种渠道收集国内外</w:t>
      </w:r>
      <w:r>
        <w:rPr>
          <w:rFonts w:hint="eastAsia" w:ascii="宋体" w:hAnsi="宋体" w:cs="宋体"/>
          <w:szCs w:val="21"/>
          <w:lang w:val="en-US" w:eastAsia="zh-CN"/>
        </w:rPr>
        <w:t>钠</w:t>
      </w:r>
      <w:r>
        <w:rPr>
          <w:rFonts w:hint="eastAsia" w:ascii="宋体" w:hAnsi="宋体" w:cs="宋体"/>
          <w:szCs w:val="21"/>
        </w:rPr>
        <w:t>电行业对</w:t>
      </w:r>
      <w:r>
        <w:rPr>
          <w:rFonts w:hint="eastAsia" w:ascii="宋体" w:hAnsi="宋体" w:cs="宋体"/>
          <w:szCs w:val="21"/>
          <w:lang w:eastAsia="zh-CN"/>
        </w:rPr>
        <w:t>镍锰</w:t>
      </w:r>
      <w:r>
        <w:rPr>
          <w:rFonts w:hint="eastAsia" w:ascii="宋体" w:hAnsi="宋体" w:cs="宋体"/>
          <w:szCs w:val="21"/>
          <w:lang w:val="en-US" w:eastAsia="zh-CN"/>
        </w:rPr>
        <w:t>钛</w:t>
      </w:r>
      <w:r>
        <w:rPr>
          <w:rFonts w:hint="eastAsia" w:ascii="宋体" w:hAnsi="宋体" w:cs="宋体"/>
          <w:szCs w:val="21"/>
          <w:lang w:eastAsia="zh-CN"/>
        </w:rPr>
        <w:t>酸钠</w:t>
      </w:r>
      <w:r>
        <w:rPr>
          <w:rFonts w:hint="eastAsia" w:ascii="宋体" w:hAnsi="宋体" w:cs="宋体"/>
          <w:szCs w:val="21"/>
        </w:rPr>
        <w:t>的需求和使用情况，查阅了大量的国内外相关文献资料，同时结合目前国内外</w:t>
      </w:r>
      <w:r>
        <w:rPr>
          <w:rFonts w:hint="eastAsia" w:ascii="宋体" w:hAnsi="宋体" w:cs="宋体"/>
          <w:szCs w:val="21"/>
          <w:lang w:eastAsia="zh-CN"/>
        </w:rPr>
        <w:t>镍锰</w:t>
      </w:r>
      <w:r>
        <w:rPr>
          <w:rFonts w:hint="eastAsia" w:ascii="宋体" w:hAnsi="宋体" w:cs="宋体"/>
          <w:szCs w:val="21"/>
          <w:lang w:val="en-US" w:eastAsia="zh-CN"/>
        </w:rPr>
        <w:t>钛</w:t>
      </w:r>
      <w:r>
        <w:rPr>
          <w:rFonts w:hint="eastAsia" w:ascii="宋体" w:hAnsi="宋体" w:cs="宋体"/>
          <w:szCs w:val="21"/>
          <w:lang w:eastAsia="zh-CN"/>
        </w:rPr>
        <w:t>酸钠</w:t>
      </w:r>
      <w:r>
        <w:rPr>
          <w:rFonts w:hint="eastAsia" w:ascii="宋体" w:hAnsi="宋体" w:cs="宋体"/>
          <w:szCs w:val="21"/>
        </w:rPr>
        <w:t>的生产和用户需求情况，形成了标准的讨论稿草案</w:t>
      </w:r>
      <w:r>
        <w:rPr>
          <w:rFonts w:hint="eastAsia" w:ascii="宋体" w:hAnsi="宋体" w:cs="宋体"/>
          <w:szCs w:val="21"/>
          <w:lang w:eastAsia="zh-CN"/>
        </w:rPr>
        <w:t>、</w:t>
      </w:r>
      <w:r>
        <w:rPr>
          <w:rFonts w:hint="eastAsia" w:ascii="宋体" w:hAnsi="宋体" w:cs="宋体"/>
          <w:szCs w:val="21"/>
          <w:lang w:val="en-US" w:eastAsia="zh-CN"/>
        </w:rPr>
        <w:t>试验工作方案</w:t>
      </w:r>
      <w:r>
        <w:rPr>
          <w:rFonts w:hint="eastAsia" w:ascii="宋体" w:hAnsi="宋体" w:cs="宋体"/>
          <w:szCs w:val="21"/>
        </w:rPr>
        <w:t>。202</w:t>
      </w:r>
      <w:r>
        <w:rPr>
          <w:rFonts w:hint="eastAsia" w:ascii="宋体" w:hAnsi="宋体" w:cs="宋体"/>
          <w:szCs w:val="21"/>
          <w:lang w:val="en-US" w:eastAsia="zh-CN"/>
        </w:rPr>
        <w:t>5</w:t>
      </w:r>
      <w:r>
        <w:rPr>
          <w:rFonts w:hint="eastAsia" w:ascii="宋体" w:hAnsi="宋体" w:cs="宋体"/>
          <w:szCs w:val="21"/>
        </w:rPr>
        <w:t>年</w:t>
      </w:r>
      <w:r>
        <w:rPr>
          <w:rFonts w:hint="eastAsia" w:ascii="宋体" w:hAnsi="宋体" w:cs="宋体"/>
          <w:szCs w:val="21"/>
          <w:lang w:val="en-US" w:eastAsia="zh-CN"/>
        </w:rPr>
        <w:t>3</w:t>
      </w:r>
      <w:r>
        <w:rPr>
          <w:rFonts w:hint="eastAsia" w:ascii="宋体" w:hAnsi="宋体" w:cs="宋体"/>
          <w:szCs w:val="21"/>
        </w:rPr>
        <w:t>月，全国化学标准化技术委员会无机化工分技术委员会组织召开了制定标准</w:t>
      </w:r>
      <w:r>
        <w:rPr>
          <w:rFonts w:hint="eastAsia" w:ascii="宋体" w:hAnsi="宋体" w:cs="宋体"/>
          <w:szCs w:val="21"/>
          <w:lang w:val="en-US" w:eastAsia="zh-CN"/>
        </w:rPr>
        <w:t>第二次</w:t>
      </w:r>
      <w:r>
        <w:rPr>
          <w:rFonts w:hint="eastAsia" w:ascii="宋体" w:hAnsi="宋体" w:cs="宋体"/>
          <w:szCs w:val="21"/>
        </w:rPr>
        <w:t>工作会，</w:t>
      </w:r>
      <w:r>
        <w:rPr>
          <w:rFonts w:hint="eastAsia" w:ascii="宋体" w:hAnsi="宋体" w:cs="宋体"/>
          <w:szCs w:val="21"/>
          <w:lang w:val="en-US" w:eastAsia="zh-CN"/>
        </w:rPr>
        <w:t>会上</w:t>
      </w:r>
      <w:r>
        <w:rPr>
          <w:rFonts w:hint="eastAsia" w:ascii="宋体" w:hAnsi="宋体" w:cs="宋体"/>
          <w:szCs w:val="21"/>
        </w:rPr>
        <w:t>各</w:t>
      </w:r>
      <w:r>
        <w:rPr>
          <w:rFonts w:hint="eastAsia" w:ascii="宋体" w:hAnsi="宋体" w:cs="宋体"/>
          <w:szCs w:val="21"/>
          <w:lang w:val="en-US" w:eastAsia="zh-CN"/>
        </w:rPr>
        <w:t>参会</w:t>
      </w:r>
      <w:r>
        <w:rPr>
          <w:rFonts w:hint="eastAsia" w:ascii="宋体" w:hAnsi="宋体" w:cs="宋体"/>
          <w:szCs w:val="21"/>
        </w:rPr>
        <w:t>单位代表对</w:t>
      </w:r>
      <w:r>
        <w:rPr>
          <w:rFonts w:hint="eastAsia" w:ascii="宋体" w:hAnsi="宋体" w:cs="宋体"/>
          <w:szCs w:val="21"/>
          <w:lang w:eastAsia="zh-CN"/>
        </w:rPr>
        <w:t>本</w:t>
      </w:r>
      <w:r>
        <w:rPr>
          <w:rFonts w:hint="eastAsia" w:ascii="宋体" w:hAnsi="宋体" w:cs="宋体"/>
          <w:szCs w:val="21"/>
          <w:lang w:val="en-US" w:eastAsia="zh-CN"/>
        </w:rPr>
        <w:t>标准</w:t>
      </w:r>
      <w:r>
        <w:rPr>
          <w:rFonts w:hint="eastAsia" w:ascii="宋体" w:hAnsi="宋体" w:cs="宋体"/>
          <w:szCs w:val="21"/>
        </w:rPr>
        <w:t>讨论稿草案进行了讨论</w:t>
      </w:r>
      <w:r>
        <w:rPr>
          <w:rFonts w:hint="eastAsia" w:ascii="宋体" w:hAnsi="宋体" w:cs="宋体"/>
          <w:szCs w:val="21"/>
          <w:lang w:eastAsia="zh-CN"/>
        </w:rPr>
        <w:t>，</w:t>
      </w:r>
      <w:r>
        <w:rPr>
          <w:rFonts w:hint="eastAsia" w:ascii="宋体" w:hAnsi="宋体" w:cs="宋体"/>
          <w:szCs w:val="21"/>
          <w:lang w:val="en-US" w:eastAsia="zh-CN"/>
        </w:rPr>
        <w:t>并安排了下一步工作</w:t>
      </w:r>
      <w:r>
        <w:rPr>
          <w:rFonts w:hint="eastAsia" w:ascii="宋体" w:hAnsi="宋体" w:cs="宋体"/>
          <w:szCs w:val="21"/>
        </w:rPr>
        <w:t>。</w:t>
      </w:r>
    </w:p>
    <w:p>
      <w:pPr>
        <w:spacing w:line="340" w:lineRule="exact"/>
        <w:ind w:firstLine="420"/>
        <w:rPr>
          <w:rFonts w:ascii="黑体" w:hAnsi="黑体" w:eastAsia="黑体" w:cs="黑体"/>
          <w:szCs w:val="21"/>
        </w:rPr>
      </w:pPr>
      <w:r>
        <w:rPr>
          <w:rFonts w:hint="eastAsia" w:ascii="黑体" w:hAnsi="黑体" w:eastAsia="黑体" w:cs="黑体"/>
          <w:szCs w:val="21"/>
          <w:lang w:eastAsia="zh-CN"/>
        </w:rPr>
        <w:t>（</w:t>
      </w:r>
      <w:r>
        <w:rPr>
          <w:rFonts w:hint="eastAsia" w:ascii="黑体" w:hAnsi="黑体" w:eastAsia="黑体" w:cs="黑体"/>
          <w:szCs w:val="21"/>
        </w:rPr>
        <w:t>4）验证过程</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szCs w:val="21"/>
        </w:rPr>
      </w:pPr>
      <w:r>
        <w:rPr>
          <w:rFonts w:hint="eastAsia" w:ascii="宋体" w:hAnsi="宋体" w:cs="宋体"/>
          <w:szCs w:val="21"/>
        </w:rPr>
        <w:t>起草工作组成员针对试验验证方案开展了试验验证工作。</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szCs w:val="21"/>
        </w:rPr>
      </w:pPr>
      <w:r>
        <w:rPr>
          <w:rFonts w:hint="eastAsia" w:ascii="宋体" w:hAnsi="宋体" w:cs="宋体"/>
          <w:szCs w:val="21"/>
        </w:rPr>
        <w:t>对比验证数据分析及验证评价（或结论）见本编制说明第四章。</w:t>
      </w:r>
    </w:p>
    <w:p>
      <w:pPr>
        <w:numPr>
          <w:ilvl w:val="0"/>
          <w:numId w:val="0"/>
        </w:numPr>
        <w:spacing w:line="340" w:lineRule="exact"/>
        <w:ind w:firstLine="420" w:firstLineChars="200"/>
        <w:rPr>
          <w:rFonts w:hint="eastAsia" w:ascii="黑体" w:hAnsi="黑体" w:eastAsia="黑体" w:cs="黑体"/>
          <w:szCs w:val="21"/>
          <w:lang w:val="en-US" w:eastAsia="zh-CN"/>
        </w:rPr>
      </w:pPr>
      <w:r>
        <w:rPr>
          <w:rFonts w:hint="eastAsia" w:ascii="黑体" w:hAnsi="黑体" w:eastAsia="黑体" w:cs="黑体"/>
          <w:szCs w:val="21"/>
          <w:lang w:val="en-US" w:eastAsia="zh-CN"/>
        </w:rPr>
        <w:t>（5）标准征求意见稿起草</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宋体" w:hAnsi="宋体" w:cs="宋体"/>
          <w:szCs w:val="21"/>
          <w:lang w:val="en-US" w:eastAsia="zh-CN"/>
        </w:rPr>
      </w:pPr>
      <w:r>
        <w:rPr>
          <w:rFonts w:hint="eastAsia" w:ascii="宋体" w:hAnsi="宋体" w:cs="宋体"/>
          <w:szCs w:val="21"/>
        </w:rPr>
        <w:t>湖北万润新能源科技股份有限公司</w:t>
      </w:r>
      <w:r>
        <w:rPr>
          <w:rFonts w:hint="eastAsia" w:ascii="宋体" w:hAnsi="宋体" w:cs="宋体"/>
          <w:szCs w:val="21"/>
          <w:lang w:val="en-US" w:eastAsia="zh-CN"/>
        </w:rPr>
        <w:t>、中海油天津化工研究设计院有限公司结合前期工作情况及试验验证情况，起草了标准征求意见稿（草案）、编制说明。</w:t>
      </w:r>
    </w:p>
    <w:p>
      <w:pPr>
        <w:widowControl w:val="0"/>
        <w:spacing w:after="156" w:afterLines="50" w:line="240" w:lineRule="auto"/>
        <w:jc w:val="both"/>
        <w:outlineLvl w:val="1"/>
        <w:rPr>
          <w:rFonts w:hint="default"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3、 征求意见阶段（2025.4）</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1）广泛征求意见</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在起草阶段工作基础上，由负责起草单位对工作组讨论稿进行了进一步的讨论和修改，其后提出标准草案征求意见稿及编制说明。于202</w:t>
      </w:r>
      <w:r>
        <w:rPr>
          <w:rFonts w:hint="default" w:ascii="Times New Roman" w:hAnsi="Times New Roman" w:cs="Times New Roman"/>
          <w:szCs w:val="21"/>
          <w:lang w:val="en-US" w:eastAsia="zh-CN"/>
        </w:rPr>
        <w:t>5</w:t>
      </w:r>
      <w:r>
        <w:rPr>
          <w:rFonts w:hint="default" w:ascii="Times New Roman" w:hAnsi="Times New Roman" w:cs="Times New Roman"/>
          <w:szCs w:val="21"/>
        </w:rPr>
        <w:t>年</w:t>
      </w:r>
      <w:r>
        <w:rPr>
          <w:rFonts w:hint="default" w:ascii="Times New Roman" w:hAnsi="Times New Roman" w:cs="Times New Roman"/>
          <w:szCs w:val="21"/>
          <w:lang w:val="en-US" w:eastAsia="zh-CN"/>
        </w:rPr>
        <w:t>4</w:t>
      </w:r>
      <w:r>
        <w:rPr>
          <w:rFonts w:hint="default" w:ascii="Times New Roman" w:hAnsi="Times New Roman" w:cs="Times New Roman"/>
          <w:szCs w:val="21"/>
        </w:rPr>
        <w:t>月开始向无机化工分技术委员会的委员、生产、使用及检验机构等单位发送了电子文件征求意见稿及编制说明，并在</w:t>
      </w:r>
      <w:r>
        <w:rPr>
          <w:rFonts w:hint="default" w:ascii="Times New Roman" w:hAnsi="Times New Roman" w:cs="Times New Roman"/>
          <w:szCs w:val="21"/>
          <w:lang w:val="en-US" w:eastAsia="zh-CN"/>
        </w:rPr>
        <w:t>中海油天津化工研究设计院有限公司</w:t>
      </w:r>
      <w:r>
        <w:rPr>
          <w:rFonts w:hint="default" w:ascii="Times New Roman" w:hAnsi="Times New Roman" w:cs="Times New Roman"/>
          <w:szCs w:val="21"/>
        </w:rPr>
        <w:t>官网上（www.trici.com.cn）公开征求意见。</w:t>
      </w:r>
    </w:p>
    <w:p>
      <w:pPr>
        <w:spacing w:before="156" w:beforeLines="50" w:after="156" w:afterLines="50" w:line="400" w:lineRule="exact"/>
        <w:outlineLvl w:val="0"/>
        <w:rPr>
          <w:rFonts w:ascii="黑体" w:hAnsi="黑体" w:eastAsia="黑体" w:cs="黑体"/>
          <w:bCs/>
          <w:szCs w:val="21"/>
        </w:rPr>
      </w:pPr>
      <w:r>
        <w:rPr>
          <w:rFonts w:hint="eastAsia" w:ascii="黑体" w:hAnsi="黑体" w:eastAsia="黑体" w:cs="黑体"/>
          <w:bCs/>
          <w:szCs w:val="21"/>
        </w:rPr>
        <w:t>二、标准编制原则和依据</w:t>
      </w:r>
    </w:p>
    <w:p>
      <w:pPr>
        <w:spacing w:before="156" w:beforeLines="50" w:after="156" w:afterLines="50" w:line="400" w:lineRule="exact"/>
        <w:outlineLvl w:val="1"/>
        <w:rPr>
          <w:rFonts w:hint="eastAsia" w:ascii="黑体" w:hAnsi="黑体" w:eastAsia="黑体" w:cs="黑体"/>
          <w:bCs/>
          <w:szCs w:val="21"/>
        </w:rPr>
      </w:pPr>
      <w:r>
        <w:rPr>
          <w:rFonts w:hint="eastAsia" w:ascii="黑体" w:hAnsi="黑体" w:eastAsia="黑体" w:cs="黑体"/>
          <w:bCs/>
          <w:szCs w:val="21"/>
          <w:lang w:val="en-US" w:eastAsia="zh-CN"/>
        </w:rPr>
        <w:t>1、</w:t>
      </w:r>
      <w:r>
        <w:rPr>
          <w:rFonts w:hint="eastAsia" w:ascii="黑体" w:hAnsi="黑体" w:eastAsia="黑体" w:cs="黑体"/>
          <w:bCs/>
          <w:szCs w:val="21"/>
        </w:rPr>
        <w:t>编制原则</w:t>
      </w:r>
    </w:p>
    <w:p>
      <w:pPr>
        <w:keepNext w:val="0"/>
        <w:keepLines w:val="0"/>
        <w:widowControl w:val="0"/>
        <w:suppressLineNumbers w:val="0"/>
        <w:spacing w:before="0" w:beforeAutospacing="0" w:after="0" w:afterAutospacing="0" w:line="360" w:lineRule="exact"/>
        <w:ind w:left="0" w:right="0" w:firstLine="420"/>
        <w:jc w:val="both"/>
        <w:rPr>
          <w:lang w:val="en-US"/>
        </w:rPr>
      </w:pPr>
      <w:r>
        <w:rPr>
          <w:rFonts w:hint="eastAsia" w:ascii="Times New Roman" w:hAnsi="Times New Roman" w:eastAsia="宋体" w:cs="宋体"/>
          <w:kern w:val="2"/>
          <w:sz w:val="21"/>
          <w:szCs w:val="24"/>
          <w:lang w:val="en-US" w:eastAsia="zh-CN" w:bidi="ar"/>
        </w:rPr>
        <w:t>制定标准时尽可能地做到简化、统一、协调、优化；既要考虑其先进性，也要考虑其实用性、可行性；既要符合国内外发展的需要，也要结合国内目前产业的实际状况。</w:t>
      </w:r>
    </w:p>
    <w:p>
      <w:pPr>
        <w:keepNext w:val="0"/>
        <w:keepLines w:val="0"/>
        <w:widowControl w:val="0"/>
        <w:numPr>
          <w:ilvl w:val="0"/>
          <w:numId w:val="4"/>
        </w:numPr>
        <w:suppressLineNumbers w:val="0"/>
        <w:spacing w:before="0" w:beforeAutospacing="0" w:after="0" w:afterAutospacing="0" w:line="288" w:lineRule="auto"/>
        <w:ind w:left="425" w:leftChars="0" w:right="0" w:hanging="5" w:firstLineChars="0"/>
        <w:jc w:val="both"/>
        <w:textAlignment w:val="baseline"/>
        <w:rPr>
          <w:vertAlign w:val="baseline"/>
          <w:lang w:val="en-US"/>
        </w:rPr>
      </w:pPr>
      <w:r>
        <w:rPr>
          <w:rFonts w:hint="eastAsia" w:ascii="Times New Roman" w:hAnsi="Times New Roman" w:eastAsia="宋体" w:cs="宋体"/>
          <w:kern w:val="2"/>
          <w:sz w:val="21"/>
          <w:szCs w:val="24"/>
          <w:vertAlign w:val="baseline"/>
          <w:lang w:val="en-US" w:eastAsia="zh-CN" w:bidi="ar"/>
        </w:rPr>
        <w:t>符合国家的政策，贯彻国家的法律法规；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val="en-US"/>
        </w:rPr>
      </w:pPr>
      <w:r>
        <w:rPr>
          <w:rFonts w:hint="eastAsia"/>
        </w:rPr>
        <w:t>2021年10月工信部对《关于在我国大力发展钠离子电池的提案》的答复，将在“十四五”相关规划等政策文件中加强布局，从促进前沿技术攻关、完善配套政策、开拓市场应用等多方面着手，做好顶层设计，健全产业政策，统筹引导钠离子电池产业高质量发展。2022年4月能源局和科技部发布的《“十四五”能源领域科技创新规划》中“针对电网削峰填谷、集中式可再生能源并网等储能应用场景，开展大容量长时储能器件与系统集成研究，研发钠离子电池新一代高性能储能技术”的要求。2022年6月发改委、能源局、财政部等九部委发布《“十四五”可再生能源发展规划》中“加强前瞻性研究，加快可再生能源前沿性、颠覆性开发利用技术攻关。研发储备钠离子电池高能量密度储能技术”的要求。2022年科技部发布的《“十四五”国家重点研发计划“储能与智能电网技术”重点专项2022年度项目申报指南》中将钠离子电池技术列为研发任务的要求。</w:t>
      </w:r>
      <w:r>
        <w:rPr>
          <w:rFonts w:hint="eastAsia"/>
          <w:lang w:val="en-US" w:eastAsia="zh-CN"/>
        </w:rPr>
        <w:t>充分考虑使用要求；</w:t>
      </w:r>
    </w:p>
    <w:p>
      <w:pPr>
        <w:keepNext w:val="0"/>
        <w:keepLines w:val="0"/>
        <w:widowControl w:val="0"/>
        <w:numPr>
          <w:ilvl w:val="0"/>
          <w:numId w:val="4"/>
        </w:numPr>
        <w:suppressLineNumbers w:val="0"/>
        <w:spacing w:before="0" w:beforeAutospacing="0" w:after="0" w:afterAutospacing="0" w:line="288" w:lineRule="auto"/>
        <w:ind w:left="425" w:leftChars="0" w:right="0" w:hanging="5" w:firstLineChars="0"/>
        <w:jc w:val="both"/>
        <w:textAlignment w:val="baseline"/>
        <w:rPr>
          <w:rFonts w:hint="eastAsia" w:ascii="Times New Roman" w:hAnsi="Times New Roman" w:eastAsia="宋体" w:cs="宋体"/>
          <w:kern w:val="2"/>
          <w:sz w:val="21"/>
          <w:szCs w:val="24"/>
          <w:vertAlign w:val="baseline"/>
          <w:lang w:val="en-US" w:eastAsia="zh-CN" w:bidi="ar"/>
        </w:rPr>
      </w:pPr>
      <w:r>
        <w:rPr>
          <w:rFonts w:hint="eastAsia" w:ascii="Times New Roman" w:hAnsi="Times New Roman" w:eastAsia="宋体" w:cs="宋体"/>
          <w:kern w:val="2"/>
          <w:sz w:val="21"/>
          <w:szCs w:val="24"/>
          <w:vertAlign w:val="baseline"/>
          <w:lang w:val="en-US" w:eastAsia="zh-CN" w:bidi="ar"/>
        </w:rPr>
        <w:t>简化、选优和通用互换；</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val="en-US"/>
        </w:rPr>
      </w:pPr>
      <w:r>
        <w:rPr>
          <w:rFonts w:hint="eastAsia"/>
        </w:rPr>
        <w:t>经查询钠离子电池</w:t>
      </w:r>
      <w:r>
        <w:rPr>
          <w:rFonts w:hint="eastAsia"/>
          <w:lang w:val="en-US" w:eastAsia="zh-CN"/>
        </w:rPr>
        <w:t>及正极材料方面的</w:t>
      </w:r>
      <w:r>
        <w:rPr>
          <w:rFonts w:hint="eastAsia"/>
        </w:rPr>
        <w:t>相关资料，国内</w:t>
      </w:r>
      <w:r>
        <w:rPr>
          <w:rFonts w:hint="eastAsia"/>
          <w:lang w:val="en-US" w:eastAsia="zh-CN"/>
        </w:rPr>
        <w:t>外</w:t>
      </w:r>
      <w:r>
        <w:rPr>
          <w:rFonts w:hint="eastAsia"/>
        </w:rPr>
        <w:t>尚无镍锰</w:t>
      </w:r>
      <w:r>
        <w:rPr>
          <w:rFonts w:hint="eastAsia"/>
          <w:lang w:val="en-US" w:eastAsia="zh-CN"/>
        </w:rPr>
        <w:t>钛</w:t>
      </w:r>
      <w:r>
        <w:rPr>
          <w:rFonts w:hint="eastAsia"/>
        </w:rPr>
        <w:t>酸钠正极材料相关的国家标准或行业标准，行业内无规范统一的镍锰</w:t>
      </w:r>
      <w:r>
        <w:rPr>
          <w:rFonts w:hint="eastAsia"/>
          <w:lang w:val="en-US" w:eastAsia="zh-CN"/>
        </w:rPr>
        <w:t>钛</w:t>
      </w:r>
      <w:r>
        <w:rPr>
          <w:rFonts w:hint="eastAsia"/>
        </w:rPr>
        <w:t>酸钠正极材料的指标要求，这不仅会导致产品质量不一，市场流通不便，更会影响到后续生产钠离子电池的推广应用。因此，在产业发展</w:t>
      </w:r>
      <w:r>
        <w:rPr>
          <w:rFonts w:hint="eastAsia"/>
          <w:lang w:eastAsia="zh-CN"/>
        </w:rPr>
        <w:t>、</w:t>
      </w:r>
      <w:r>
        <w:rPr>
          <w:rFonts w:hint="eastAsia"/>
        </w:rPr>
        <w:t>标准先行的引导下，制定镍锰</w:t>
      </w:r>
      <w:r>
        <w:rPr>
          <w:rFonts w:hint="eastAsia"/>
          <w:lang w:val="en-US" w:eastAsia="zh-CN"/>
        </w:rPr>
        <w:t>钛</w:t>
      </w:r>
      <w:r>
        <w:rPr>
          <w:rFonts w:hint="eastAsia"/>
        </w:rPr>
        <w:t>酸钠正极材料产品标准，以规范统一镍锰</w:t>
      </w:r>
      <w:r>
        <w:rPr>
          <w:rFonts w:hint="eastAsia"/>
          <w:lang w:val="en-US" w:eastAsia="zh-CN"/>
        </w:rPr>
        <w:t>钛</w:t>
      </w:r>
      <w:r>
        <w:rPr>
          <w:rFonts w:hint="eastAsia"/>
        </w:rPr>
        <w:t>酸钠正极材料质量指标控制要求，从而为钠电正极材料行业生产企业提供选择和标准指导，以便更好地促进钠电行业发展，提升企业和社会经济效益。</w:t>
      </w:r>
    </w:p>
    <w:p>
      <w:pPr>
        <w:keepNext w:val="0"/>
        <w:keepLines w:val="0"/>
        <w:widowControl w:val="0"/>
        <w:numPr>
          <w:ilvl w:val="0"/>
          <w:numId w:val="4"/>
        </w:numPr>
        <w:suppressLineNumbers w:val="0"/>
        <w:spacing w:before="0" w:beforeAutospacing="0" w:after="0" w:afterAutospacing="0" w:line="288" w:lineRule="auto"/>
        <w:ind w:left="425" w:leftChars="0" w:right="0" w:hanging="5" w:firstLineChars="0"/>
        <w:jc w:val="both"/>
        <w:textAlignment w:val="baseline"/>
        <w:rPr>
          <w:rFonts w:hint="eastAsia" w:ascii="Times New Roman" w:hAnsi="Times New Roman" w:eastAsia="宋体" w:cs="宋体"/>
          <w:kern w:val="2"/>
          <w:sz w:val="21"/>
          <w:szCs w:val="24"/>
          <w:vertAlign w:val="baseline"/>
          <w:lang w:val="en-US" w:eastAsia="zh-CN" w:bidi="ar"/>
        </w:rPr>
      </w:pPr>
      <w:r>
        <w:rPr>
          <w:rFonts w:hint="eastAsia" w:ascii="Times New Roman" w:hAnsi="Times New Roman" w:eastAsia="宋体" w:cs="宋体"/>
          <w:kern w:val="2"/>
          <w:sz w:val="21"/>
          <w:szCs w:val="24"/>
          <w:vertAlign w:val="baseline"/>
          <w:lang w:val="en-US" w:eastAsia="zh-CN" w:bidi="ar"/>
        </w:rPr>
        <w:t>技术先进、经济合理；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lang w:val="en-US"/>
        </w:rPr>
      </w:pPr>
      <w:r>
        <w:rPr>
          <w:rFonts w:hint="eastAsia"/>
        </w:rPr>
        <w:t>钠离子电池层状氧化物正极材料中，镍元素对提高材料的比容量和能量密度具有重要作用；锰元素不仅价格低廉，而且具有高的理论比容量。镍锰</w:t>
      </w:r>
      <w:r>
        <w:rPr>
          <w:rFonts w:hint="eastAsia"/>
          <w:lang w:val="en-US" w:eastAsia="zh-CN"/>
        </w:rPr>
        <w:t>钛</w:t>
      </w:r>
      <w:r>
        <w:rPr>
          <w:rFonts w:hint="eastAsia"/>
        </w:rPr>
        <w:t>酸钠正极材料因其具有优异的电化学循环性能和存储稳定性，是目前钠离子电池正极材料的热点之一</w:t>
      </w:r>
      <w:r>
        <w:rPr>
          <w:rFonts w:hint="eastAsia"/>
          <w:lang w:eastAsia="zh-CN"/>
        </w:rPr>
        <w:t>，</w:t>
      </w:r>
      <w:r>
        <w:rPr>
          <w:rFonts w:hint="eastAsia"/>
        </w:rPr>
        <w:t>制备镍锰</w:t>
      </w:r>
      <w:r>
        <w:rPr>
          <w:rFonts w:hint="eastAsia"/>
          <w:lang w:val="en-US" w:eastAsia="zh-CN"/>
        </w:rPr>
        <w:t>钛</w:t>
      </w:r>
      <w:r>
        <w:rPr>
          <w:rFonts w:hint="eastAsia"/>
        </w:rPr>
        <w:t>酸钠正极材料需使用氧化镍、氧化锰</w:t>
      </w:r>
      <w:r>
        <w:rPr>
          <w:rFonts w:hint="eastAsia"/>
          <w:lang w:eastAsia="zh-CN"/>
        </w:rPr>
        <w:t>、</w:t>
      </w:r>
      <w:r>
        <w:rPr>
          <w:rFonts w:hint="eastAsia"/>
          <w:lang w:val="en-US" w:eastAsia="zh-CN"/>
        </w:rPr>
        <w:t>氧化钛</w:t>
      </w:r>
      <w:r>
        <w:rPr>
          <w:rFonts w:hint="eastAsia"/>
        </w:rPr>
        <w:t>作为前驱体，碳酸钠为钠源，通过高温固相法合成。</w:t>
      </w:r>
    </w:p>
    <w:p>
      <w:pPr>
        <w:keepNext w:val="0"/>
        <w:keepLines w:val="0"/>
        <w:widowControl w:val="0"/>
        <w:numPr>
          <w:ilvl w:val="0"/>
          <w:numId w:val="4"/>
        </w:numPr>
        <w:suppressLineNumbers w:val="0"/>
        <w:spacing w:before="0" w:beforeAutospacing="0" w:after="0" w:afterAutospacing="0" w:line="288" w:lineRule="auto"/>
        <w:ind w:left="425" w:leftChars="0" w:right="0" w:hanging="5" w:firstLineChars="0"/>
        <w:jc w:val="both"/>
        <w:textAlignment w:val="baseline"/>
        <w:rPr>
          <w:rFonts w:hint="eastAsia" w:ascii="Times New Roman" w:hAnsi="Times New Roman" w:eastAsia="宋体" w:cs="宋体"/>
          <w:kern w:val="2"/>
          <w:sz w:val="21"/>
          <w:szCs w:val="24"/>
          <w:vertAlign w:val="baseline"/>
          <w:lang w:val="en-US" w:eastAsia="zh-CN" w:bidi="ar"/>
        </w:rPr>
      </w:pPr>
      <w:r>
        <w:rPr>
          <w:rFonts w:hint="eastAsia" w:ascii="Times New Roman" w:hAnsi="Times New Roman" w:eastAsia="宋体" w:cs="宋体"/>
          <w:kern w:val="2"/>
          <w:sz w:val="21"/>
          <w:szCs w:val="24"/>
          <w:vertAlign w:val="baseline"/>
          <w:lang w:val="en-US" w:eastAsia="zh-CN" w:bidi="ar"/>
        </w:rPr>
        <w:t>从全局出发，考虑各方的综合效益。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rPr>
      </w:pPr>
      <w:r>
        <w:rPr>
          <w:rFonts w:hint="eastAsia"/>
        </w:rPr>
        <w:t>本文件规定的内容遵循充分满足市场要求原则、指导生产的原则，可以提高</w:t>
      </w:r>
      <w:r>
        <w:rPr>
          <w:rFonts w:hint="eastAsia"/>
          <w:lang w:eastAsia="zh-CN"/>
        </w:rPr>
        <w:t>镍锰</w:t>
      </w:r>
      <w:r>
        <w:rPr>
          <w:rFonts w:hint="eastAsia"/>
          <w:lang w:val="en-US" w:eastAsia="zh-CN"/>
        </w:rPr>
        <w:t>钛</w:t>
      </w:r>
      <w:r>
        <w:rPr>
          <w:rFonts w:hint="eastAsia"/>
          <w:lang w:eastAsia="zh-CN"/>
        </w:rPr>
        <w:t>酸钠</w:t>
      </w:r>
      <w:r>
        <w:rPr>
          <w:rFonts w:hint="eastAsia"/>
        </w:rPr>
        <w:t>的生产技术水平，促进相关技术的进步，为国内相关产业提供技术指导，满足用户的需求，促进</w:t>
      </w:r>
      <w:r>
        <w:rPr>
          <w:rFonts w:hint="eastAsia"/>
          <w:lang w:val="en-US" w:eastAsia="zh-CN"/>
        </w:rPr>
        <w:t>钠</w:t>
      </w:r>
      <w:r>
        <w:rPr>
          <w:rFonts w:hint="eastAsia"/>
        </w:rPr>
        <w:t>电正极材料行业的不断发展。</w:t>
      </w:r>
    </w:p>
    <w:p>
      <w:pPr>
        <w:keepNext w:val="0"/>
        <w:keepLines w:val="0"/>
        <w:widowControl w:val="0"/>
        <w:suppressLineNumbers w:val="0"/>
        <w:spacing w:before="0" w:beforeAutospacing="0" w:after="0" w:afterAutospacing="0" w:line="288" w:lineRule="auto"/>
        <w:ind w:left="0" w:right="0"/>
        <w:jc w:val="both"/>
        <w:rPr>
          <w:rFonts w:hint="eastAsia" w:ascii="黑体" w:hAnsi="Times New Roman" w:eastAsia="黑体" w:cs="黑体"/>
          <w:lang w:val="en-US"/>
        </w:rPr>
      </w:pPr>
      <w:r>
        <w:rPr>
          <w:rFonts w:hint="eastAsia" w:ascii="黑体" w:hAnsi="Times New Roman" w:eastAsia="黑体" w:cs="黑体"/>
          <w:kern w:val="2"/>
          <w:sz w:val="21"/>
          <w:szCs w:val="24"/>
          <w:lang w:val="en-US" w:eastAsia="zh-CN" w:bidi="ar"/>
        </w:rPr>
        <w:t>2 编制依据</w:t>
      </w:r>
    </w:p>
    <w:p>
      <w:pPr>
        <w:keepNext w:val="0"/>
        <w:keepLines w:val="0"/>
        <w:widowControl w:val="0"/>
        <w:suppressLineNumbers w:val="0"/>
        <w:spacing w:before="0" w:beforeAutospacing="0" w:after="0" w:afterAutospacing="0" w:line="360" w:lineRule="exact"/>
        <w:ind w:left="0" w:right="0" w:firstLine="420"/>
        <w:jc w:val="both"/>
        <w:rPr>
          <w:rFonts w:hint="eastAsia" w:ascii="Times New Roman" w:hAnsi="Times New Roman" w:eastAsia="宋体" w:cs="宋体"/>
          <w:kern w:val="2"/>
          <w:sz w:val="21"/>
          <w:szCs w:val="24"/>
          <w:lang w:val="en-US" w:eastAsia="zh-CN" w:bidi="ar"/>
        </w:rPr>
      </w:pPr>
      <w:r>
        <w:rPr>
          <w:rFonts w:hint="eastAsia" w:cs="宋体"/>
          <w:kern w:val="2"/>
          <w:sz w:val="21"/>
          <w:szCs w:val="24"/>
          <w:lang w:val="en-US" w:eastAsia="zh-CN" w:bidi="ar"/>
        </w:rPr>
        <w:t>本文件</w:t>
      </w:r>
      <w:r>
        <w:rPr>
          <w:rFonts w:hint="eastAsia" w:ascii="Times New Roman" w:hAnsi="Times New Roman" w:eastAsia="宋体" w:cs="宋体"/>
          <w:kern w:val="2"/>
          <w:sz w:val="21"/>
          <w:szCs w:val="24"/>
          <w:lang w:val="en-US" w:eastAsia="zh-CN" w:bidi="ar"/>
        </w:rPr>
        <w:t>的制定是以相关标准为基础，按</w:t>
      </w:r>
      <w:r>
        <w:rPr>
          <w:rFonts w:hint="default" w:ascii="Times New Roman" w:hAnsi="Times New Roman" w:eastAsia="宋体" w:cs="Times New Roman"/>
          <w:kern w:val="2"/>
          <w:sz w:val="21"/>
          <w:szCs w:val="24"/>
          <w:lang w:val="en-US" w:eastAsia="zh-CN" w:bidi="ar"/>
        </w:rPr>
        <w:t>GB /T1.1-2020</w:t>
      </w:r>
      <w:r>
        <w:rPr>
          <w:rFonts w:hint="eastAsia" w:ascii="Times New Roman" w:hAnsi="Times New Roman" w:eastAsia="宋体" w:cs="宋体"/>
          <w:kern w:val="2"/>
          <w:sz w:val="21"/>
          <w:szCs w:val="24"/>
          <w:lang w:val="en-US" w:eastAsia="zh-CN" w:bidi="ar"/>
        </w:rPr>
        <w:t>《标准化工作导则第</w:t>
      </w:r>
      <w:r>
        <w:rPr>
          <w:rFonts w:hint="default" w:ascii="Times New Roman" w:hAnsi="Times New Roman" w:eastAsia="宋体" w:cs="Times New Roman"/>
          <w:kern w:val="2"/>
          <w:sz w:val="21"/>
          <w:szCs w:val="24"/>
          <w:lang w:val="en-US" w:eastAsia="zh-CN" w:bidi="ar"/>
        </w:rPr>
        <w:t>1</w:t>
      </w:r>
      <w:r>
        <w:rPr>
          <w:rFonts w:hint="eastAsia" w:ascii="Times New Roman" w:hAnsi="Times New Roman" w:eastAsia="宋体" w:cs="宋体"/>
          <w:kern w:val="2"/>
          <w:sz w:val="21"/>
          <w:szCs w:val="24"/>
          <w:lang w:val="en-US" w:eastAsia="zh-CN" w:bidi="ar"/>
        </w:rPr>
        <w:t>部分：标准的结构和编写》和</w:t>
      </w:r>
      <w:r>
        <w:rPr>
          <w:rFonts w:hint="default" w:ascii="Times New Roman" w:hAnsi="Times New Roman" w:eastAsia="宋体" w:cs="Times New Roman"/>
          <w:kern w:val="2"/>
          <w:sz w:val="21"/>
          <w:szCs w:val="24"/>
          <w:lang w:val="en-US" w:eastAsia="zh-CN" w:bidi="ar"/>
        </w:rPr>
        <w:t xml:space="preserve"> GB/T 20001.10-2014</w:t>
      </w:r>
      <w:r>
        <w:rPr>
          <w:rFonts w:hint="eastAsia" w:ascii="Times New Roman" w:hAnsi="Times New Roman" w:eastAsia="宋体" w:cs="宋体"/>
          <w:kern w:val="2"/>
          <w:sz w:val="21"/>
          <w:szCs w:val="24"/>
          <w:lang w:val="en-US" w:eastAsia="zh-CN" w:bidi="ar"/>
        </w:rPr>
        <w:t>《标准编写规则</w:t>
      </w:r>
      <w:r>
        <w:rPr>
          <w:rFonts w:hint="default" w:ascii="Times New Roman" w:hAnsi="Times New Roman" w:eastAsia="宋体" w:cs="Times New Roman"/>
          <w:kern w:val="2"/>
          <w:sz w:val="21"/>
          <w:szCs w:val="24"/>
          <w:lang w:val="en-US" w:eastAsia="zh-CN" w:bidi="ar"/>
        </w:rPr>
        <w:t xml:space="preserve"> </w:t>
      </w:r>
      <w:r>
        <w:rPr>
          <w:rFonts w:hint="eastAsia" w:ascii="Times New Roman" w:hAnsi="Times New Roman" w:eastAsia="宋体" w:cs="宋体"/>
          <w:kern w:val="2"/>
          <w:sz w:val="21"/>
          <w:szCs w:val="24"/>
          <w:lang w:val="en-US" w:eastAsia="zh-CN" w:bidi="ar"/>
        </w:rPr>
        <w:t>第</w:t>
      </w:r>
      <w:r>
        <w:rPr>
          <w:rFonts w:hint="default" w:ascii="Times New Roman" w:hAnsi="Times New Roman" w:eastAsia="宋体" w:cs="Times New Roman"/>
          <w:kern w:val="2"/>
          <w:sz w:val="21"/>
          <w:szCs w:val="24"/>
          <w:lang w:val="en-US" w:eastAsia="zh-CN" w:bidi="ar"/>
        </w:rPr>
        <w:t>10</w:t>
      </w:r>
      <w:r>
        <w:rPr>
          <w:rFonts w:hint="eastAsia" w:ascii="Times New Roman" w:hAnsi="Times New Roman" w:eastAsia="宋体" w:cs="宋体"/>
          <w:kern w:val="2"/>
          <w:sz w:val="21"/>
          <w:szCs w:val="24"/>
          <w:lang w:val="en-US" w:eastAsia="zh-CN" w:bidi="ar"/>
        </w:rPr>
        <w:t>部分：产品标准》的规定要求起草标准草案。</w:t>
      </w:r>
    </w:p>
    <w:p>
      <w:pPr>
        <w:keepNext w:val="0"/>
        <w:keepLines w:val="0"/>
        <w:widowControl w:val="0"/>
        <w:numPr>
          <w:ilvl w:val="0"/>
          <w:numId w:val="5"/>
        </w:numPr>
        <w:suppressLineNumbers w:val="0"/>
        <w:spacing w:before="0" w:beforeAutospacing="0" w:after="0" w:afterAutospacing="0" w:line="360" w:lineRule="exact"/>
        <w:ind w:left="425" w:leftChars="0" w:right="0" w:hanging="5" w:firstLineChars="0"/>
        <w:jc w:val="both"/>
        <w:rPr>
          <w:rFonts w:hint="eastAsia" w:ascii="Times New Roman" w:hAnsi="Times New Roman" w:eastAsia="宋体" w:cs="宋体"/>
          <w:kern w:val="2"/>
          <w:sz w:val="21"/>
          <w:szCs w:val="24"/>
          <w:vertAlign w:val="baseline"/>
          <w:lang w:val="en-US" w:eastAsia="zh-CN" w:bidi="ar"/>
        </w:rPr>
      </w:pPr>
      <w:r>
        <w:rPr>
          <w:rFonts w:hint="eastAsia" w:ascii="Times New Roman" w:hAnsi="Times New Roman" w:eastAsia="宋体" w:cs="宋体"/>
          <w:kern w:val="2"/>
          <w:sz w:val="21"/>
          <w:szCs w:val="24"/>
          <w:vertAlign w:val="baseline"/>
          <w:lang w:val="en-US" w:eastAsia="zh-CN" w:bidi="ar"/>
        </w:rPr>
        <w:t>钠离子电池生产对</w:t>
      </w:r>
      <w:r>
        <w:rPr>
          <w:rFonts w:hint="eastAsia"/>
        </w:rPr>
        <w:t>镍锰</w:t>
      </w:r>
      <w:r>
        <w:rPr>
          <w:rFonts w:hint="eastAsia"/>
          <w:lang w:val="en-US" w:eastAsia="zh-CN"/>
        </w:rPr>
        <w:t>钛</w:t>
      </w:r>
      <w:r>
        <w:rPr>
          <w:rFonts w:hint="eastAsia"/>
        </w:rPr>
        <w:t>酸钠</w:t>
      </w:r>
      <w:r>
        <w:rPr>
          <w:rFonts w:hint="eastAsia" w:ascii="Times New Roman" w:hAnsi="Times New Roman" w:eastAsia="宋体" w:cs="宋体"/>
          <w:kern w:val="2"/>
          <w:sz w:val="21"/>
          <w:szCs w:val="24"/>
          <w:vertAlign w:val="baseline"/>
          <w:lang w:val="en-US" w:eastAsia="zh-CN" w:bidi="ar"/>
        </w:rPr>
        <w:t>正极材料的性能要求；</w:t>
      </w:r>
    </w:p>
    <w:p>
      <w:pPr>
        <w:keepNext w:val="0"/>
        <w:keepLines w:val="0"/>
        <w:widowControl w:val="0"/>
        <w:numPr>
          <w:ilvl w:val="0"/>
          <w:numId w:val="5"/>
        </w:numPr>
        <w:suppressLineNumbers w:val="0"/>
        <w:spacing w:before="0" w:beforeAutospacing="0" w:after="0" w:afterAutospacing="0" w:line="360" w:lineRule="exact"/>
        <w:ind w:left="425" w:leftChars="0" w:right="0" w:hanging="5" w:firstLineChars="0"/>
        <w:jc w:val="both"/>
        <w:rPr>
          <w:rFonts w:hint="eastAsia" w:ascii="Times New Roman" w:hAnsi="Times New Roman" w:eastAsia="宋体" w:cs="宋体"/>
          <w:kern w:val="2"/>
          <w:sz w:val="21"/>
          <w:szCs w:val="24"/>
          <w:vertAlign w:val="baseline"/>
          <w:lang w:val="en-US" w:eastAsia="zh-CN" w:bidi="ar"/>
        </w:rPr>
      </w:pPr>
      <w:r>
        <w:rPr>
          <w:rFonts w:hint="eastAsia" w:ascii="Times New Roman" w:hAnsi="Times New Roman" w:eastAsia="宋体" w:cs="宋体"/>
          <w:kern w:val="2"/>
          <w:sz w:val="21"/>
          <w:szCs w:val="24"/>
          <w:vertAlign w:val="baseline"/>
          <w:lang w:val="en-US" w:eastAsia="zh-CN" w:bidi="ar"/>
        </w:rPr>
        <w:t>试验验证数据及样品实测数据</w:t>
      </w:r>
      <w:r>
        <w:rPr>
          <w:rFonts w:hint="eastAsia" w:cs="宋体"/>
          <w:kern w:val="2"/>
          <w:sz w:val="21"/>
          <w:szCs w:val="24"/>
          <w:vertAlign w:val="baseline"/>
          <w:lang w:val="en-US" w:eastAsia="zh-CN" w:bidi="ar"/>
        </w:rPr>
        <w:t>，见附表</w:t>
      </w:r>
      <w:r>
        <w:rPr>
          <w:rFonts w:hint="eastAsia" w:ascii="Times New Roman" w:hAnsi="Times New Roman" w:eastAsia="宋体" w:cs="宋体"/>
          <w:kern w:val="2"/>
          <w:sz w:val="21"/>
          <w:szCs w:val="24"/>
          <w:vertAlign w:val="baseline"/>
          <w:lang w:val="en-US" w:eastAsia="zh-CN" w:bidi="ar"/>
        </w:rPr>
        <w:t>；</w:t>
      </w:r>
    </w:p>
    <w:p>
      <w:pPr>
        <w:keepNext w:val="0"/>
        <w:keepLines w:val="0"/>
        <w:widowControl w:val="0"/>
        <w:numPr>
          <w:ilvl w:val="0"/>
          <w:numId w:val="5"/>
        </w:numPr>
        <w:suppressLineNumbers w:val="0"/>
        <w:spacing w:before="0" w:beforeAutospacing="0" w:after="0" w:afterAutospacing="0" w:line="360" w:lineRule="exact"/>
        <w:ind w:left="425" w:leftChars="0" w:right="0" w:hanging="5" w:firstLineChars="0"/>
        <w:jc w:val="both"/>
        <w:rPr>
          <w:vertAlign w:val="baseline"/>
          <w:lang w:val="en-US"/>
        </w:rPr>
      </w:pPr>
      <w:r>
        <w:rPr>
          <w:rFonts w:hint="eastAsia" w:ascii="Times New Roman" w:hAnsi="Times New Roman" w:eastAsia="宋体" w:cs="宋体"/>
          <w:kern w:val="2"/>
          <w:sz w:val="21"/>
          <w:szCs w:val="24"/>
          <w:vertAlign w:val="baseline"/>
          <w:lang w:val="en-US" w:eastAsia="zh-CN" w:bidi="ar"/>
        </w:rPr>
        <w:t>生产企业产品质量数据。</w:t>
      </w:r>
    </w:p>
    <w:p>
      <w:pPr>
        <w:spacing w:before="156" w:beforeLines="50" w:after="156" w:afterLines="50" w:line="400" w:lineRule="exact"/>
        <w:outlineLvl w:val="0"/>
        <w:rPr>
          <w:rFonts w:ascii="黑体" w:hAnsi="黑体" w:eastAsia="黑体" w:cs="黑体"/>
          <w:bCs/>
          <w:szCs w:val="21"/>
        </w:rPr>
      </w:pPr>
      <w:r>
        <w:rPr>
          <w:rFonts w:hint="eastAsia" w:ascii="黑体" w:hAnsi="黑体" w:eastAsia="黑体" w:cs="黑体"/>
          <w:bCs/>
          <w:szCs w:val="21"/>
        </w:rPr>
        <w:t>三、标准主要内容及说明</w:t>
      </w:r>
    </w:p>
    <w:p>
      <w:pPr>
        <w:spacing w:before="156" w:beforeLines="50" w:after="156" w:afterLines="50" w:line="400" w:lineRule="exact"/>
        <w:outlineLvl w:val="1"/>
        <w:rPr>
          <w:rFonts w:ascii="黑体" w:hAnsi="黑体" w:eastAsia="黑体" w:cs="黑体"/>
          <w:szCs w:val="21"/>
        </w:rPr>
      </w:pPr>
      <w:r>
        <w:rPr>
          <w:rFonts w:hint="eastAsia" w:ascii="黑体" w:hAnsi="黑体" w:eastAsia="黑体" w:cs="黑体"/>
          <w:szCs w:val="21"/>
        </w:rPr>
        <w:t>1</w:t>
      </w:r>
      <w:r>
        <w:rPr>
          <w:rFonts w:hint="eastAsia" w:ascii="黑体" w:hAnsi="黑体" w:eastAsia="黑体" w:cs="黑体"/>
          <w:szCs w:val="21"/>
          <w:lang w:eastAsia="zh-CN"/>
        </w:rPr>
        <w:t>、</w:t>
      </w:r>
      <w:r>
        <w:rPr>
          <w:rFonts w:hint="eastAsia" w:ascii="黑体" w:hAnsi="黑体" w:eastAsia="黑体" w:cs="黑体"/>
          <w:szCs w:val="21"/>
        </w:rPr>
        <w:t>范围</w:t>
      </w:r>
    </w:p>
    <w:p>
      <w:pPr>
        <w:spacing w:line="340" w:lineRule="exact"/>
        <w:ind w:firstLine="420"/>
        <w:rPr>
          <w:rFonts w:hint="eastAsia" w:ascii="宋体" w:hAnsi="宋体" w:cs="Times New Roman"/>
          <w:color w:val="auto"/>
          <w:lang w:val="en-US" w:eastAsia="zh-CN"/>
        </w:rPr>
      </w:pPr>
      <w:r>
        <w:rPr>
          <w:rFonts w:hint="eastAsia" w:ascii="宋体" w:hAnsi="宋体" w:cs="Times New Roman"/>
          <w:color w:val="auto"/>
          <w:lang w:val="en-US" w:eastAsia="zh-CN"/>
        </w:rPr>
        <w:t>本文件规定了镍锰钛酸钠的术语和定义、技术要求、试验方法、检验规则、标志、包装、运输、贮存、随行文件和订货单（或合同）内容。</w:t>
      </w:r>
    </w:p>
    <w:p>
      <w:pPr>
        <w:spacing w:line="340" w:lineRule="exact"/>
        <w:ind w:firstLine="420"/>
        <w:rPr>
          <w:rFonts w:hint="eastAsia" w:ascii="宋体" w:hAnsi="宋体" w:cs="Times New Roman"/>
          <w:color w:val="auto"/>
          <w:lang w:val="en-US" w:eastAsia="zh-CN"/>
        </w:rPr>
      </w:pPr>
      <w:r>
        <w:rPr>
          <w:rFonts w:hint="eastAsia" w:ascii="宋体" w:hAnsi="宋体" w:cs="Times New Roman"/>
          <w:color w:val="auto"/>
          <w:lang w:val="en-US" w:eastAsia="zh-CN"/>
        </w:rPr>
        <w:t>本文件适用于钠离子电池用正极材料镍锰钛酸钠。</w:t>
      </w:r>
    </w:p>
    <w:p>
      <w:pPr>
        <w:spacing w:before="156" w:beforeLines="50" w:after="156" w:afterLines="50" w:line="400" w:lineRule="exact"/>
        <w:outlineLvl w:val="1"/>
        <w:rPr>
          <w:rFonts w:hint="default" w:ascii="黑体" w:hAnsi="黑体" w:eastAsia="黑体" w:cs="黑体"/>
          <w:szCs w:val="21"/>
          <w:lang w:val="en-US" w:eastAsia="zh-CN"/>
        </w:rPr>
      </w:pPr>
      <w:r>
        <w:rPr>
          <w:rFonts w:hint="eastAsia" w:ascii="黑体" w:hAnsi="黑体" w:eastAsia="黑体" w:cs="黑体"/>
          <w:szCs w:val="21"/>
          <w:lang w:val="en-US" w:eastAsia="zh-CN"/>
        </w:rPr>
        <w:t>2、</w:t>
      </w:r>
      <w:r>
        <w:rPr>
          <w:rFonts w:hint="eastAsia" w:ascii="黑体" w:hAnsi="黑体" w:eastAsia="黑体" w:cs="黑体"/>
          <w:szCs w:val="21"/>
        </w:rPr>
        <w:t>技术要求</w:t>
      </w:r>
      <w:r>
        <w:rPr>
          <w:rFonts w:hint="eastAsia" w:ascii="黑体" w:hAnsi="黑体" w:eastAsia="黑体" w:cs="黑体"/>
          <w:szCs w:val="21"/>
          <w:lang w:val="en-US" w:eastAsia="zh-CN"/>
        </w:rPr>
        <w:t>的确定</w:t>
      </w:r>
    </w:p>
    <w:p>
      <w:pPr>
        <w:spacing w:before="156" w:beforeLines="50" w:after="156" w:afterLines="50" w:line="400" w:lineRule="exact"/>
        <w:outlineLvl w:val="1"/>
        <w:rPr>
          <w:rFonts w:ascii="黑体" w:hAnsi="黑体" w:eastAsia="黑体" w:cs="黑体"/>
          <w:szCs w:val="21"/>
        </w:rPr>
      </w:pPr>
      <w:r>
        <w:rPr>
          <w:rFonts w:hint="eastAsia" w:ascii="黑体" w:hAnsi="黑体" w:eastAsia="黑体" w:cs="黑体"/>
          <w:szCs w:val="21"/>
          <w:lang w:eastAsia="zh-CN"/>
        </w:rPr>
        <w:t>（</w:t>
      </w:r>
      <w:r>
        <w:rPr>
          <w:rFonts w:hint="eastAsia" w:ascii="黑体" w:hAnsi="黑体" w:eastAsia="黑体" w:cs="黑体"/>
          <w:szCs w:val="21"/>
          <w:lang w:val="en-US" w:eastAsia="zh-CN"/>
        </w:rPr>
        <w:t>1）</w:t>
      </w:r>
      <w:r>
        <w:rPr>
          <w:rFonts w:hint="eastAsia" w:ascii="黑体" w:hAnsi="黑体" w:eastAsia="黑体" w:cs="黑体"/>
          <w:szCs w:val="21"/>
        </w:rPr>
        <w:t>化学成分</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钠离子电池用镍锰钛酸钠其生产工艺是将金属氧化物（NiO、MnO、TiO）与钠源（NaCO</w:t>
      </w:r>
      <w:r>
        <w:rPr>
          <w:rFonts w:hint="default" w:ascii="Times New Roman" w:hAnsi="Times New Roman" w:cs="Times New Roman"/>
          <w:color w:val="auto"/>
          <w:vertAlign w:val="subscript"/>
          <w:lang w:val="en-US" w:eastAsia="zh-CN"/>
        </w:rPr>
        <w:t>3</w:t>
      </w:r>
      <w:r>
        <w:rPr>
          <w:rFonts w:hint="default" w:ascii="Times New Roman" w:hAnsi="Times New Roman" w:cs="Times New Roman"/>
          <w:color w:val="auto"/>
          <w:lang w:val="en-US" w:eastAsia="zh-CN"/>
        </w:rPr>
        <w:t>）机械混合后，高温煅烧（800℃～1000℃）。产品的主要成分为镍（Ni）、锰（Mn）、铜（Cu）[含铜产品]、钛（Ti）、钠（Na），因此，这些主要成分是</w:t>
      </w:r>
      <w:r>
        <w:rPr>
          <w:rFonts w:hint="eastAsia" w:cs="Times New Roman"/>
          <w:color w:val="auto"/>
          <w:lang w:val="en-US" w:eastAsia="zh-CN"/>
        </w:rPr>
        <w:t>本文件</w:t>
      </w:r>
      <w:r>
        <w:rPr>
          <w:rFonts w:hint="default" w:ascii="Times New Roman" w:hAnsi="Times New Roman" w:cs="Times New Roman"/>
          <w:color w:val="auto"/>
          <w:lang w:val="en-US" w:eastAsia="zh-CN"/>
        </w:rPr>
        <w:t>中的重要技术指标，另外，生产过程或原材料中存在的、且需要控制的一些杂质，如钙、铬、锌及水分等同样是保证产品质量的控制点之一。</w:t>
      </w:r>
    </w:p>
    <w:p>
      <w:pPr>
        <w:spacing w:line="340" w:lineRule="exact"/>
        <w:ind w:firstLine="420"/>
        <w:rPr>
          <w:rFonts w:hint="default" w:ascii="Times New Roman" w:hAnsi="Times New Roman" w:cs="Times New Roman"/>
          <w:color w:val="auto"/>
          <w:lang w:val="en-US" w:eastAsia="zh-CN"/>
        </w:rPr>
      </w:pPr>
      <w:bookmarkStart w:id="1" w:name="OLE_LINK15"/>
      <w:r>
        <w:rPr>
          <w:rFonts w:hint="default" w:ascii="Times New Roman" w:hAnsi="Times New Roman" w:cs="Times New Roman"/>
          <w:color w:val="auto"/>
          <w:lang w:val="en-US" w:eastAsia="zh-CN"/>
        </w:rPr>
        <w:t>1、各主元素的正向作用​</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​​（1）钠（Na）​​</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​其主要功能是作为电荷载体，在充放电过程中通过脱嵌实现电荷转移。钠含量需平衡离子传导性和结构稳定性。过量可能导致结构坍塌，不足则限制容量。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​​（2）镍（Ni）​​</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Ni²⁺/Ni³⁺或Ni³⁺/Ni⁴⁺氧化还原反应提供高比容量。高镍含量可提升工作电压，但可能引发结构相变（如层状→尖晶石相）。高Ni可能导致循环稳定性下降（如晶格氧释放、电解液副反应）。</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​​（3）锰（Mn）​​</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Mn⁴⁺抑制Jahn-Teller效应（若Mn³⁺存在），增强晶体框架稳定性。降低材料成本，替代高价金属（如Co）。但过量Mn³⁺可能导致容量衰减，需控制氧化态（通过合成工艺或元素掺杂）。</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​​（4）钛（Ti）</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其作用主要是抑制相变。Ti⁴⁺的高稳定性（强Ti-O键）减少充放电过程中的体积变化。同时提升离子扩散，Ti掺杂可能拓宽钠离子通道，改善倍率性能。Ti不参与氧化还原反应，Ti过量可能降低总容量。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铜（Cu）</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铜的潜在作用机制主要有以下几方面：​</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1）提升电子导电性​</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Cu²⁺/Cu³⁺的氧化还原活性可增强材料整体的电子传导能力，降低电荷转移阻抗。改善倍率性能（如5C容量保持率提升10-20%），减少极化现象。</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2）稳定晶体结构​</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u-O键的强共价性（键能高于Ni-O、Mn-O）可增强层状结构的稳定性，抑制充放电过程中的不可逆相变（如P2→O2相变）。抑制Jahn-Teller畸变，若材料中存在Mn³⁺（d⁴电子构型），Cu²⁺（d⁹）的掺杂可部分抵消畸变，提升循环稳定性。</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3）调节氧化还原电位​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Cu²⁺/Cu³⁺的氧化还原电位（~3.5-4.0 V vs. Na⁺/Na）可能引入额外容量，并与Ni/Mn的氧化还原反应形成互补。缓解高镍材料因多相反应导致的电压滞后问题。</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4）促进钠离子扩散​</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层间距调控，Cu²⁺的离子半径（0.73 Å）略小于Ni²⁺（0.83 Å），可能略微扩大钠层间距（如从~3.5 Å增至3.7 Å），加速Na⁺迁移。</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2、主要的负面影响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在钠离子电池正极材料（如镍锰钛酸钠，NaNiₓMnᵧTi₂O₂）的生产过程中，钙（Ca）、铬（Cr）、锌（Zn）及水分（H₂O）等杂质成分可能对材料性能产生显著负面影响。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钙（Ca）杂质</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1）主要的负面影响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a）阻塞钠离子通道，Ca²⁺（离子半径1.12 Å）远大于Na⁺（1.16 Å），但电荷密度高，易占据钠层位点，导致： </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b）离子迁移率下降，钠离子扩散系数降低（文献报道Ca含量1%可使扩散系数下降30%）。</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c）首效降低，钠脱嵌动力学受阻，不可逆容量增加。</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d）高温相生成，在煅烧过程中（&gt;800℃），Ca可能形成CaTiO₃等绝缘相，阻断电子传导路径。</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2）理想的控制值</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较为理想的Ca含量需&lt;100 ppm。</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（3）锌（Zn）杂质​</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1）主要的负面影响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a）惰性位点占据，Zn²⁺（电化学惰性）取代Ni²⁺或Mn³⁺活性位点，直接降低可逆容量（每1% Zn掺杂约损失5-8 mAh/g容量）。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b）层状结构破坏，Zn²⁺（离子半径0.74 Å）与Ni/Mn的半径差异可能导致P2/O3相结构局部坍塌，循环寿命下降。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c）界面钝化，Zn可能在材料表面富集，形成ZnO绝缘层，增加界面阻抗。</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2）理想的控制值​</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较为理想的Zn含量需&lt;100 ppm。</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（4）铬（Cr）杂质</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1）主要的负面影响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a）氧化还原反应干扰​</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竞争性反应，Cr³⁺/Cr⁴⁺的氧化还原电位（~2.8-3.2 V vs. Na⁺/Na）可能与Ni²⁺/Ni³⁺（~3.0-3.8 V）或Mn³⁺/Mn⁴⁺（~3.5-4.0 V）的反应电位部分重叠，导致充放电过程中出现不可控的额外电压平台，扰乱电池管理系统（BMS）的电压判读。Cr³⁺的氧化反应可能消耗部分容量，但因其氧化还原活性较低，贡献的容量效率低且不可逆性强。</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b）晶体结构破坏​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晶格畸变，Cr³⁺的离子半径（0.76 Å）与Ni²⁺（0.83 Å）、Mn³⁺（0.72 Å）和Ti⁴⁺（0.74 Å）存在差异，可能导致晶格应力积累，引发微裂纹或局部相变（如层状→尖晶石相）。Cr掺杂可能占据过渡金属层中的活性位点，抑制钠离子的脱嵌动力学。</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杂质相生成，在高温合成过程中（如固相法煅烧），Cr可能与O结合生成惰性相（如Cr₂O₃），阻断电子/离子传输路径。</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c）界面副反应加剧​</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电解液分解催化，Cr³⁺可能迁移至材料表面，催化电解液（如酯类溶剂）的氧化分解，生成厚且不稳定的CEI（正极-电解液界面）膜，增加界面阻抗。副反应产物（如CO₂、烷烃气体）可能导致电池鼓胀和安全风险。</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过渡金属溶解，Cr³⁺在循环过程中可能发生歧化反应（2Cr³⁺ → Cr²⁺ + Cr⁴⁺），导致Cr²⁺溶出并迁移至负极，破坏SEI膜，加速容量衰减。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d）热稳定性下降​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含Cr材料在高温下（&gt;200℃）可能释放氧气（如CrO₃分解），加剧热失控风险。</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2）理想的控制值​</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较为理想的的Cr含量需&lt;100 ppm）</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（5）水分（H₂O）的影响</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1）负面作用​</w:t>
      </w:r>
    </w:p>
    <w:p>
      <w:pPr>
        <w:spacing w:line="340" w:lineRule="exact"/>
        <w:ind w:firstLine="420"/>
        <w:jc w:val="left"/>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a）电解液分解：水分与电解液中的钠盐（如NaPF₆）反应： NaPF6 +H2 O→NaF+POF3 +2HF</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HF腐蚀正极材料，导致过渡金属溶解（如Mn³⁺→Mn²⁺）和容量衰减。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b）气体生成：水分的还原反应（如H₂O + e⁻ → OH⁻ + ½H₂↑）导致电池鼓胀和安全风险。</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c）结构水嵌入：水分可能嵌入材料晶格（如形成NaNiₓMnᵧTi₂O₂·nH₂O），改变层间距并引发相变。</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2）理想的控制值​</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较为理想的水分需&lt;50 ppm（电极极片和电解液）。</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（2）物理指标</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产品的应用特性，产品的压实密度、粒度及比表面积是需重点关注的项目，这三个项目决定是钠离子正极材料从实验室走向产业化必须精确控制的“黄金三角”。高压实密度、窄粒度分布和适中比表面积的组合，可兼顾高能量密度、优异倍率性能和长循环寿命。</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通过上述分析，</w:t>
      </w:r>
      <w:r>
        <w:rPr>
          <w:rFonts w:hint="eastAsia" w:cs="Times New Roman"/>
          <w:color w:val="auto"/>
          <w:lang w:val="en-US" w:eastAsia="zh-CN"/>
        </w:rPr>
        <w:t>本文件</w:t>
      </w:r>
      <w:r>
        <w:rPr>
          <w:rFonts w:hint="default" w:ascii="Times New Roman" w:hAnsi="Times New Roman" w:cs="Times New Roman"/>
          <w:color w:val="auto"/>
          <w:lang w:val="en-US" w:eastAsia="zh-CN"/>
        </w:rPr>
        <w:t>中针对产品的理化指标项目及参数给出了具体要求。</w:t>
      </w:r>
    </w:p>
    <w:p>
      <w:pPr>
        <w:spacing w:line="340" w:lineRule="exact"/>
        <w:ind w:firstLine="420"/>
        <w:rPr>
          <w:rFonts w:hint="default" w:ascii="Times New Roman" w:hAnsi="Times New Roman" w:cs="Times New Roman"/>
          <w:color w:val="auto"/>
          <w:lang w:val="en-US" w:eastAsia="zh-CN"/>
        </w:rPr>
      </w:pPr>
      <w:bookmarkStart w:id="2" w:name="OLE_LINK5"/>
      <w:r>
        <w:rPr>
          <w:rFonts w:hint="default" w:ascii="Times New Roman" w:hAnsi="Times New Roman" w:cs="Times New Roman"/>
          <w:color w:val="auto"/>
          <w:lang w:val="en-US" w:eastAsia="zh-CN"/>
        </w:rPr>
        <w:t>钠离子电池用镍锰钛酸钠</w:t>
      </w:r>
      <w:bookmarkEnd w:id="1"/>
      <w:bookmarkEnd w:id="2"/>
      <w:r>
        <w:rPr>
          <w:rFonts w:hint="default" w:ascii="Times New Roman" w:hAnsi="Times New Roman" w:cs="Times New Roman"/>
          <w:color w:val="auto"/>
          <w:lang w:val="en-US" w:eastAsia="zh-CN"/>
        </w:rPr>
        <w:t>理化指标应符合表1的规定。</w:t>
      </w:r>
    </w:p>
    <w:p>
      <w:pPr>
        <w:widowControl/>
        <w:spacing w:line="400" w:lineRule="exact"/>
        <w:ind w:firstLine="420" w:firstLineChars="200"/>
        <w:jc w:val="center"/>
        <w:rPr>
          <w:rFonts w:hint="default" w:ascii="宋体" w:hAnsi="宋体" w:eastAsia="宋体"/>
          <w:color w:val="auto"/>
          <w:lang w:val="en-US" w:eastAsia="zh-CN"/>
        </w:rPr>
      </w:pPr>
      <w:r>
        <w:rPr>
          <w:rFonts w:hint="eastAsia" w:ascii="宋体" w:hAnsi="宋体"/>
          <w:color w:val="auto"/>
          <w:lang w:val="en-US" w:eastAsia="zh-CN"/>
        </w:rPr>
        <w:t>表1</w:t>
      </w:r>
    </w:p>
    <w:tbl>
      <w:tblPr>
        <w:tblStyle w:val="12"/>
        <w:tblW w:w="946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466"/>
        <w:gridCol w:w="350"/>
        <w:gridCol w:w="3143"/>
        <w:gridCol w:w="31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81" w:type="dxa"/>
            <w:gridSpan w:val="3"/>
            <w:vMerge w:val="restar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项   目</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81"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r>
              <w:rPr>
                <w:rFonts w:hint="eastAsia" w:ascii="Times New Roman" w:hAnsi="宋体"/>
                <w:b w:val="0"/>
                <w:color w:val="000000"/>
                <w:kern w:val="2"/>
                <w:szCs w:val="24"/>
              </w:rPr>
              <w:t>Ⅰ</w:t>
            </w:r>
            <w:r>
              <w:rPr>
                <w:rFonts w:hint="default" w:ascii="Times New Roman"/>
                <w:b w:val="0"/>
                <w:color w:val="000000"/>
                <w:kern w:val="2"/>
                <w:szCs w:val="24"/>
              </w:rPr>
              <w:t>型</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r>
              <w:rPr>
                <w:rFonts w:hint="eastAsia" w:ascii="Times New Roman" w:hAnsi="宋体"/>
                <w:b w:val="0"/>
                <w:color w:val="000000"/>
                <w:kern w:val="2"/>
                <w:szCs w:val="24"/>
              </w:rPr>
              <w:t>Ⅱ</w:t>
            </w:r>
            <w:r>
              <w:rPr>
                <w:rFonts w:hint="default" w:ascii="Times New Roman"/>
                <w:b w:val="0"/>
                <w:color w:val="000000"/>
                <w:kern w:val="2"/>
                <w:szCs w:val="24"/>
              </w:rPr>
              <w:t>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钠（Na）</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highlight w:val="none"/>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spacing w:before="0" w:beforeAutospacing="0" w:after="0" w:afterAutospacing="0" w:line="360" w:lineRule="exact"/>
              <w:ind w:left="0" w:right="0" w:firstLine="0" w:firstLineChars="0"/>
              <w:jc w:val="center"/>
              <w:textAlignment w:val="auto"/>
              <w:rPr>
                <w:rFonts w:hint="default" w:ascii="Times New Roman" w:hAnsi="Times New Roman" w:eastAsia="宋体" w:cs="Times New Roman"/>
                <w:b w:val="0"/>
                <w:color w:val="000000"/>
                <w:sz w:val="18"/>
                <w:szCs w:val="18"/>
                <w:lang w:val="en-US" w:eastAsia="zh-CN" w:bidi="ar-SA"/>
              </w:rPr>
            </w:pPr>
            <w:r>
              <w:rPr>
                <w:rFonts w:hint="default" w:ascii="Times New Roman" w:hAnsi="Times New Roman" w:cs="Times New Roman"/>
                <w:b w:val="0"/>
                <w:color w:val="000000"/>
                <w:sz w:val="18"/>
                <w:szCs w:val="18"/>
              </w:rPr>
              <w:t>18～21</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spacing w:before="0" w:beforeAutospacing="0" w:after="0" w:afterAutospacing="0" w:line="360" w:lineRule="exact"/>
              <w:ind w:left="0" w:right="0" w:firstLine="0" w:firstLineChars="0"/>
              <w:jc w:val="center"/>
              <w:textAlignment w:val="auto"/>
              <w:rPr>
                <w:rFonts w:hint="eastAsia" w:ascii="Times New Roman" w:hAnsi="Times New Roman" w:eastAsia="宋体" w:cs="Times New Roman"/>
                <w:b w:val="0"/>
                <w:color w:val="000000"/>
                <w:sz w:val="18"/>
                <w:szCs w:val="18"/>
                <w:lang w:val="en-US" w:eastAsia="zh-CN"/>
              </w:rPr>
            </w:pPr>
            <w:r>
              <w:rPr>
                <w:rFonts w:hint="eastAsia" w:ascii="Times New Roman" w:cs="Times New Roman"/>
                <w:b w:val="0"/>
                <w:color w:val="000000"/>
                <w:sz w:val="18"/>
                <w:szCs w:val="18"/>
                <w:lang w:val="en-US" w:eastAsia="zh-CN"/>
              </w:rPr>
              <w:t>17</w:t>
            </w:r>
            <w:r>
              <w:rPr>
                <w:rFonts w:hint="default" w:ascii="Times New Roman" w:hAnsi="Times New Roman" w:cs="Times New Roman"/>
                <w:b w:val="0"/>
                <w:color w:val="000000"/>
                <w:sz w:val="18"/>
                <w:szCs w:val="18"/>
              </w:rPr>
              <w:t>～2</w:t>
            </w:r>
            <w:r>
              <w:rPr>
                <w:rFonts w:hint="eastAsia" w:ascii="Times New Roman" w:hAnsi="Times New Roman" w:cs="Times New Roman"/>
                <w:b w:val="0"/>
                <w:color w:val="000000"/>
                <w:sz w:val="18"/>
                <w:szCs w:val="1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rPr>
            </w:pPr>
            <w:r>
              <w:rPr>
                <w:rFonts w:hint="default" w:ascii="Times New Roman" w:hAnsi="Times New Roman" w:cs="Times New Roman"/>
                <w:b w:val="0"/>
                <w:color w:val="000000"/>
                <w:sz w:val="18"/>
                <w:szCs w:val="18"/>
              </w:rPr>
              <w:t>镍（Ni）</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center"/>
              <w:textAlignment w:val="auto"/>
              <w:rPr>
                <w:rFonts w:hint="default" w:ascii="Times New Roman" w:hAnsi="Times New Roman" w:eastAsia="宋体" w:cs="Times New Roman"/>
                <w:b w:val="0"/>
                <w:color w:val="000000"/>
                <w:sz w:val="18"/>
                <w:szCs w:val="18"/>
                <w:lang w:val="en-US" w:eastAsia="zh-CN" w:bidi="ar-SA"/>
              </w:rPr>
            </w:pPr>
            <w:r>
              <w:rPr>
                <w:rFonts w:hint="default" w:ascii="Times New Roman" w:hAnsi="Times New Roman" w:cs="Times New Roman"/>
                <w:b w:val="0"/>
                <w:color w:val="000000"/>
                <w:sz w:val="18"/>
                <w:szCs w:val="18"/>
              </w:rPr>
              <w:t>22～27</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center"/>
              <w:textAlignment w:val="auto"/>
              <w:rPr>
                <w:rFonts w:hint="eastAsia" w:ascii="Times New Roman" w:hAnsi="Times New Roman" w:eastAsia="宋体" w:cs="Times New Roman"/>
                <w:b w:val="0"/>
                <w:color w:val="000000"/>
                <w:sz w:val="18"/>
                <w:szCs w:val="18"/>
                <w:lang w:val="en-US" w:eastAsia="zh-CN" w:bidi="ar-SA"/>
              </w:rPr>
            </w:pPr>
            <w:r>
              <w:rPr>
                <w:rFonts w:hint="eastAsia" w:ascii="Times New Roman" w:hAnsi="Times New Roman" w:cs="Times New Roman"/>
                <w:b w:val="0"/>
                <w:color w:val="000000"/>
                <w:sz w:val="18"/>
                <w:szCs w:val="18"/>
                <w:lang w:val="en-US" w:eastAsia="zh-CN"/>
              </w:rPr>
              <w:t>18</w:t>
            </w:r>
            <w:r>
              <w:rPr>
                <w:rFonts w:hint="default" w:ascii="Times New Roman" w:hAnsi="Times New Roman" w:cs="Times New Roman"/>
                <w:b w:val="0"/>
                <w:color w:val="000000"/>
                <w:sz w:val="18"/>
                <w:szCs w:val="18"/>
              </w:rPr>
              <w:t>～2</w:t>
            </w:r>
            <w:r>
              <w:rPr>
                <w:rFonts w:hint="eastAsia" w:ascii="Times New Roman" w:hAnsi="Times New Roman" w:cs="Times New Roman"/>
                <w:b w:val="0"/>
                <w:color w:val="000000"/>
                <w:sz w:val="18"/>
                <w:szCs w:val="18"/>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rPr>
            </w:pPr>
            <w:r>
              <w:rPr>
                <w:rFonts w:hint="default" w:ascii="Times New Roman" w:hAnsi="Times New Roman" w:cs="Times New Roman"/>
                <w:b w:val="0"/>
                <w:color w:val="000000"/>
                <w:sz w:val="18"/>
                <w:szCs w:val="18"/>
              </w:rPr>
              <w:t>锰（Mn）</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cs="Times New Roman"/>
                <w:b w:val="0"/>
                <w:color w:val="000000"/>
                <w:sz w:val="18"/>
                <w:szCs w:val="18"/>
              </w:rPr>
              <w:t>12～16</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eastAsia" w:ascii="Times New Roman" w:hAnsi="Times New Roman" w:eastAsia="宋体" w:cs="Times New Roman"/>
                <w:b w:val="0"/>
                <w:color w:val="000000"/>
                <w:kern w:val="2"/>
                <w:sz w:val="18"/>
                <w:szCs w:val="18"/>
                <w:lang w:val="en-US" w:eastAsia="zh-CN" w:bidi="ar-SA"/>
              </w:rPr>
            </w:pPr>
            <w:r>
              <w:rPr>
                <w:rFonts w:hint="eastAsia" w:ascii="Times New Roman" w:hAnsi="Times New Roman" w:cs="Times New Roman"/>
                <w:b w:val="0"/>
                <w:color w:val="000000"/>
                <w:sz w:val="18"/>
                <w:szCs w:val="18"/>
                <w:lang w:val="en-US" w:eastAsia="zh-CN"/>
              </w:rPr>
              <w:t>16</w:t>
            </w:r>
            <w:r>
              <w:rPr>
                <w:rFonts w:hint="default" w:ascii="Times New Roman" w:hAnsi="Times New Roman" w:cs="Times New Roman"/>
                <w:b w:val="0"/>
                <w:color w:val="000000"/>
                <w:sz w:val="18"/>
                <w:szCs w:val="18"/>
              </w:rPr>
              <w:t>～</w:t>
            </w:r>
            <w:r>
              <w:rPr>
                <w:rFonts w:hint="eastAsia" w:ascii="Times New Roman" w:hAnsi="Times New Roman" w:cs="Times New Roman"/>
                <w:b w:val="0"/>
                <w:color w:val="000000"/>
                <w:sz w:val="18"/>
                <w:szCs w:val="18"/>
                <w:lang w:val="en-US" w:eastAsia="zh-CN"/>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rPr>
            </w:pPr>
            <w:r>
              <w:rPr>
                <w:rFonts w:hint="eastAsia" w:ascii="Times New Roman" w:hAnsi="Times New Roman" w:cs="Times New Roman"/>
                <w:b w:val="0"/>
                <w:color w:val="000000"/>
                <w:sz w:val="18"/>
                <w:szCs w:val="18"/>
                <w:lang w:val="en-US" w:eastAsia="zh-CN"/>
              </w:rPr>
              <w:t>铜</w:t>
            </w:r>
            <w:r>
              <w:rPr>
                <w:rFonts w:hint="default" w:ascii="Times New Roman" w:hAnsi="Times New Roman" w:cs="Times New Roman"/>
                <w:b w:val="0"/>
                <w:color w:val="000000"/>
                <w:sz w:val="18"/>
                <w:szCs w:val="18"/>
              </w:rPr>
              <w:t>（</w:t>
            </w:r>
            <w:r>
              <w:rPr>
                <w:rFonts w:hint="eastAsia" w:ascii="Times New Roman" w:hAnsi="Times New Roman" w:cs="Times New Roman"/>
                <w:b w:val="0"/>
                <w:color w:val="000000"/>
                <w:sz w:val="18"/>
                <w:szCs w:val="18"/>
                <w:lang w:val="en-US" w:eastAsia="zh-CN"/>
              </w:rPr>
              <w:t>Cu</w:t>
            </w:r>
            <w:r>
              <w:rPr>
                <w:rFonts w:hint="default" w:ascii="Times New Roman" w:hAnsi="Times New Roman" w:cs="Times New Roman"/>
                <w:b w:val="0"/>
                <w:color w:val="000000"/>
                <w:sz w:val="18"/>
                <w:szCs w:val="18"/>
              </w:rPr>
              <w:t>）</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1.5</w:t>
            </w:r>
            <w:r>
              <w:rPr>
                <w:rFonts w:hint="default" w:ascii="Times New Roman" w:hAnsi="Times New Roman" w:cs="Times New Roman"/>
                <w:b w:val="0"/>
                <w:color w:val="000000"/>
                <w:sz w:val="18"/>
                <w:szCs w:val="18"/>
              </w:rPr>
              <w:t>～</w:t>
            </w:r>
            <w:r>
              <w:rPr>
                <w:rFonts w:hint="eastAsia" w:ascii="Times New Roman" w:hAnsi="Times New Roman" w:cs="Times New Roman"/>
                <w:b w:val="0"/>
                <w:color w:val="000000"/>
                <w:sz w:val="18"/>
                <w:szCs w:val="18"/>
                <w:lang w:val="en-US" w:eastAsia="zh-CN"/>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rPr>
            </w:pPr>
            <w:r>
              <w:rPr>
                <w:rFonts w:hint="default" w:ascii="Times New Roman" w:hAnsi="Times New Roman" w:cs="Times New Roman"/>
                <w:b w:val="0"/>
                <w:color w:val="000000"/>
                <w:sz w:val="18"/>
                <w:szCs w:val="18"/>
              </w:rPr>
              <w:t>钛（Ti）</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rPr>
            </w:pP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kern w:val="2"/>
                <w:sz w:val="18"/>
                <w:szCs w:val="18"/>
                <w:lang w:val="en-US" w:eastAsia="zh-CN" w:bidi="ar-SA"/>
              </w:rPr>
            </w:pPr>
            <w:r>
              <w:rPr>
                <w:rFonts w:hint="default" w:ascii="Times New Roman" w:hAnsi="Times New Roman" w:cs="Times New Roman"/>
                <w:b w:val="0"/>
                <w:color w:val="000000"/>
                <w:sz w:val="18"/>
                <w:szCs w:val="18"/>
              </w:rPr>
              <w:t>6～10</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3.0</w:t>
            </w:r>
            <w:r>
              <w:rPr>
                <w:rFonts w:hint="default" w:ascii="Times New Roman" w:hAnsi="Times New Roman" w:cs="Times New Roman"/>
                <w:b w:val="0"/>
                <w:color w:val="000000"/>
                <w:sz w:val="18"/>
                <w:szCs w:val="18"/>
              </w:rPr>
              <w:t>～</w:t>
            </w:r>
            <w:r>
              <w:rPr>
                <w:rFonts w:hint="eastAsia" w:ascii="Times New Roman" w:hAnsi="Times New Roman" w:cs="Times New Roman"/>
                <w:b w:val="0"/>
                <w:color w:val="000000"/>
                <w:sz w:val="18"/>
                <w:szCs w:val="18"/>
                <w:lang w:val="en-US" w:eastAsia="zh-CN"/>
              </w:rPr>
              <w:t>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钙（Ca）</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highlight w:val="none"/>
              </w:rPr>
            </w:pPr>
            <w:r>
              <w:rPr>
                <w:rStyle w:val="49"/>
                <w:rFonts w:hint="eastAsia" w:ascii="宋体" w:hAnsi="宋体" w:eastAsia="宋体" w:cs="宋体"/>
                <w:b w:val="0"/>
                <w:color w:val="000000"/>
                <w:sz w:val="18"/>
                <w:szCs w:val="18"/>
                <w:highlight w:val="none"/>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r>
              <w:rPr>
                <w:rFonts w:hint="default" w:ascii="Times New Roman" w:hAnsi="Times New Roman" w:cs="Times New Roman"/>
                <w:b w:val="0"/>
                <w:color w:val="000000"/>
                <w:sz w:val="18"/>
                <w:szCs w:val="18"/>
                <w:highlight w:val="none"/>
                <w:lang w:val="en-US" w:eastAsia="zh-CN"/>
              </w:rPr>
              <w:t>0.0</w:t>
            </w:r>
            <w:r>
              <w:rPr>
                <w:rFonts w:hint="eastAsia" w:ascii="Times New Roman" w:hAnsi="Times New Roman" w:cs="Times New Roman"/>
                <w:b w:val="0"/>
                <w:color w:val="000000"/>
                <w:sz w:val="18"/>
                <w:szCs w:val="18"/>
                <w:highlight w:val="none"/>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铬（Cr）</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eastAsia" w:ascii="宋体" w:hAnsi="宋体" w:eastAsia="宋体" w:cs="宋体"/>
                <w:b w:val="0"/>
                <w:color w:val="000000"/>
                <w:sz w:val="18"/>
                <w:szCs w:val="18"/>
                <w:highlight w:val="none"/>
              </w:rPr>
            </w:pPr>
            <w:r>
              <w:rPr>
                <w:rStyle w:val="49"/>
                <w:rFonts w:hint="eastAsia" w:ascii="宋体" w:hAnsi="宋体" w:eastAsia="宋体" w:cs="宋体"/>
                <w:b w:val="0"/>
                <w:color w:val="000000"/>
                <w:sz w:val="18"/>
                <w:szCs w:val="18"/>
                <w:highlight w:val="none"/>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r>
              <w:rPr>
                <w:rFonts w:hint="default" w:ascii="Times New Roman" w:hAnsi="Times New Roman" w:cs="Times New Roman"/>
                <w:b w:val="0"/>
                <w:color w:val="000000"/>
                <w:sz w:val="18"/>
                <w:szCs w:val="18"/>
                <w:highlight w:val="none"/>
                <w:lang w:val="en-US" w:eastAsia="zh-CN"/>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锌（Zn）</w:t>
            </w:r>
            <w:r>
              <w:rPr>
                <w:rFonts w:hint="default" w:ascii="Times New Roman" w:hAnsi="Times New Roman" w:cs="Times New Roman"/>
                <w:b w:val="0"/>
                <w:i/>
                <w:iCs/>
                <w:color w:val="000000"/>
                <w:sz w:val="18"/>
                <w:szCs w:val="18"/>
              </w:rPr>
              <w:t>w</w:t>
            </w:r>
            <w:r>
              <w:rPr>
                <w:rFonts w:hint="default" w:ascii="Times New Roman" w:hAnsi="Times New Roman" w:cs="Times New Roman"/>
                <w:b w:val="0"/>
                <w:color w:val="00000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Style w:val="49"/>
                <w:rFonts w:hint="eastAsia" w:ascii="宋体" w:hAnsi="宋体" w:eastAsia="宋体" w:cs="宋体"/>
                <w:b w:val="0"/>
                <w:color w:val="000000"/>
                <w:sz w:val="18"/>
                <w:szCs w:val="18"/>
                <w:highlight w:val="none"/>
              </w:rPr>
            </w:pPr>
            <w:r>
              <w:rPr>
                <w:rStyle w:val="49"/>
                <w:rFonts w:hint="eastAsia" w:ascii="宋体" w:hAnsi="宋体" w:eastAsia="宋体" w:cs="宋体"/>
                <w:b w:val="0"/>
                <w:color w:val="000000"/>
                <w:sz w:val="18"/>
                <w:szCs w:val="18"/>
                <w:highlight w:val="none"/>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r>
              <w:rPr>
                <w:rFonts w:hint="default" w:ascii="Times New Roman" w:hAnsi="Times New Roman" w:cs="Times New Roman"/>
                <w:b w:val="0"/>
                <w:color w:val="000000"/>
                <w:sz w:val="18"/>
                <w:szCs w:val="18"/>
                <w:highlight w:val="none"/>
                <w:lang w:val="en-US" w:eastAsia="zh-CN"/>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default" w:ascii="Times New Roman" w:hAnsi="Times New Roman" w:cs="Times New Roman"/>
                <w:b w:val="0"/>
                <w:color w:val="000000"/>
                <w:sz w:val="18"/>
                <w:szCs w:val="18"/>
              </w:rPr>
            </w:pPr>
            <w:r>
              <w:rPr>
                <w:rFonts w:hint="default" w:ascii="Times New Roman" w:hAnsi="Times New Roman" w:cs="Times New Roman"/>
                <w:b w:val="0"/>
                <w:color w:val="000000"/>
                <w:sz w:val="18"/>
                <w:szCs w:val="18"/>
                <w:lang w:val="en-US" w:eastAsia="zh-CN"/>
              </w:rPr>
              <w:t>水分</w:t>
            </w:r>
            <w:r>
              <w:rPr>
                <w:rFonts w:hint="default" w:ascii="Times New Roman" w:hAnsi="Times New Roman" w:cs="Times New Roman"/>
                <w:b w:val="0"/>
                <w:i/>
                <w:color w:val="000000"/>
                <w:kern w:val="0"/>
                <w:sz w:val="18"/>
                <w:szCs w:val="18"/>
              </w:rPr>
              <w:t>w</w:t>
            </w:r>
            <w:r>
              <w:rPr>
                <w:rFonts w:hint="default" w:ascii="Times New Roman" w:hAnsi="Times New Roman" w:cs="Times New Roman"/>
                <w:b w:val="0"/>
                <w:color w:val="000000"/>
                <w:kern w:val="0"/>
                <w:sz w:val="18"/>
                <w:szCs w:val="18"/>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Style w:val="49"/>
                <w:rFonts w:hint="eastAsia" w:ascii="宋体" w:hAnsi="宋体" w:eastAsia="宋体" w:cs="宋体"/>
                <w:b w:val="0"/>
                <w:color w:val="000000"/>
                <w:sz w:val="18"/>
                <w:szCs w:val="18"/>
              </w:rPr>
            </w:pPr>
            <w:r>
              <w:rPr>
                <w:rStyle w:val="49"/>
                <w:rFonts w:hint="eastAsia" w:ascii="宋体" w:hAnsi="宋体" w:eastAsia="宋体" w:cs="宋体"/>
                <w:b w:val="0"/>
                <w:color w:val="000000"/>
                <w:sz w:val="18"/>
                <w:szCs w:val="18"/>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000000" w:sz="4" w:space="0"/>
              <w:left w:val="single" w:color="000000" w:sz="4" w:space="0"/>
              <w:bottom w:val="single" w:color="000000" w:sz="4" w:space="0"/>
              <w:right w:val="nil"/>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压实密度g/cm</w:t>
            </w:r>
            <w:r>
              <w:rPr>
                <w:rFonts w:hint="default" w:ascii="Times New Roman" w:hAnsi="Times New Roman" w:cs="Times New Roman"/>
                <w:b w:val="0"/>
                <w:color w:val="000000"/>
                <w:sz w:val="18"/>
                <w:szCs w:val="18"/>
                <w:vertAlign w:val="superscript"/>
              </w:rPr>
              <w:t>3</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Style w:val="49"/>
                <w:rFonts w:hint="eastAsia" w:ascii="宋体" w:hAnsi="宋体" w:eastAsia="宋体" w:cs="宋体"/>
                <w:b w:val="0"/>
                <w:color w:val="000000"/>
                <w:sz w:val="18"/>
                <w:szCs w:val="18"/>
                <w:highlight w:val="none"/>
              </w:rPr>
            </w:pPr>
            <w:r>
              <w:rPr>
                <w:rFonts w:hint="eastAsia" w:ascii="宋体" w:hAnsi="宋体" w:eastAsia="宋体" w:cs="宋体"/>
                <w:b w:val="0"/>
                <w:color w:val="000000"/>
                <w:sz w:val="18"/>
                <w:szCs w:val="18"/>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r>
              <w:rPr>
                <w:rFonts w:hint="default" w:ascii="Times New Roman" w:hAnsi="Times New Roman" w:cs="Times New Roman"/>
                <w:b w:val="0"/>
                <w:color w:val="000000"/>
                <w:sz w:val="18"/>
                <w:szCs w:val="18"/>
                <w:highlight w:val="none"/>
                <w:lang w:val="en-US" w:eastAsia="zh-CN"/>
              </w:rPr>
              <w:t>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bookmarkStart w:id="3" w:name="OLE_LINK14"/>
            <w:r>
              <w:rPr>
                <w:rFonts w:hint="default" w:ascii="Times New Roman" w:hAnsi="Times New Roman" w:cs="Times New Roman"/>
                <w:b w:val="0"/>
                <w:color w:val="000000"/>
                <w:sz w:val="18"/>
                <w:szCs w:val="18"/>
              </w:rPr>
              <w:t>粒度分布</w:t>
            </w:r>
            <w:bookmarkEnd w:id="3"/>
            <w:r>
              <w:rPr>
                <w:rFonts w:hint="default" w:ascii="Times New Roman" w:hAnsi="Times New Roman" w:cs="Times New Roman"/>
                <w:b w:val="0"/>
                <w:color w:val="000000"/>
                <w:sz w:val="18"/>
                <w:szCs w:val="18"/>
                <w:lang w:val="en-US" w:eastAsia="zh-CN"/>
              </w:rPr>
              <w:t>/</w:t>
            </w:r>
            <w:r>
              <w:rPr>
                <w:rFonts w:hint="default" w:ascii="Times New Roman" w:hAnsi="Times New Roman" w:cs="Times New Roman"/>
                <w:b w:val="0"/>
                <w:color w:val="000000"/>
                <w:sz w:val="18"/>
                <w:szCs w:val="18"/>
              </w:rPr>
              <w:t>μm</w:t>
            </w:r>
          </w:p>
        </w:tc>
        <w:tc>
          <w:tcPr>
            <w:tcW w:w="1466" w:type="dxa"/>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Style w:val="49"/>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D</w:t>
            </w:r>
            <w:r>
              <w:rPr>
                <w:rFonts w:hint="default" w:ascii="Times New Roman" w:hAnsi="Times New Roman" w:cs="Times New Roman"/>
                <w:b w:val="0"/>
                <w:color w:val="000000"/>
                <w:sz w:val="18"/>
                <w:szCs w:val="18"/>
                <w:vertAlign w:val="subscript"/>
              </w:rPr>
              <w:t>10</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eastAsia" w:ascii="宋体" w:hAnsi="宋体" w:eastAsia="宋体" w:cs="宋体"/>
                <w:b w:val="0"/>
                <w:color w:val="000000"/>
                <w:sz w:val="18"/>
                <w:szCs w:val="18"/>
              </w:rPr>
            </w:pPr>
            <w:r>
              <w:rPr>
                <w:rFonts w:hint="eastAsia" w:ascii="宋体" w:hAnsi="宋体" w:eastAsia="宋体" w:cs="宋体"/>
                <w:b w:val="0"/>
                <w:color w:val="000000"/>
                <w:sz w:val="18"/>
                <w:szCs w:val="18"/>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default" w:ascii="Times New Roman" w:hAnsi="Times New Roman" w:cs="Times New Roman"/>
                <w:b w:val="0"/>
                <w:color w:val="000000"/>
                <w:sz w:val="18"/>
                <w:szCs w:val="18"/>
              </w:rPr>
            </w:pPr>
          </w:p>
        </w:tc>
        <w:tc>
          <w:tcPr>
            <w:tcW w:w="1466" w:type="dxa"/>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Style w:val="49"/>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D</w:t>
            </w:r>
            <w:r>
              <w:rPr>
                <w:rFonts w:hint="default" w:ascii="Times New Roman" w:hAnsi="Times New Roman" w:cs="Times New Roman"/>
                <w:b w:val="0"/>
                <w:color w:val="000000"/>
                <w:sz w:val="18"/>
                <w:szCs w:val="18"/>
                <w:vertAlign w:val="subscript"/>
              </w:rPr>
              <w:t>50</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eastAsia" w:ascii="宋体" w:hAnsi="宋体" w:eastAsia="宋体" w:cs="宋体"/>
                <w:b w:val="0"/>
                <w:color w:val="000000"/>
                <w:sz w:val="18"/>
                <w:szCs w:val="18"/>
              </w:rPr>
            </w:pP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default" w:ascii="Times New Roman" w:hAnsi="Times New Roman" w:cs="Times New Roman"/>
                <w:b w:val="0"/>
                <w:color w:val="000000"/>
                <w:sz w:val="18"/>
                <w:szCs w:val="18"/>
              </w:rPr>
            </w:pPr>
          </w:p>
        </w:tc>
        <w:tc>
          <w:tcPr>
            <w:tcW w:w="1466" w:type="dxa"/>
            <w:tcBorders>
              <w:top w:val="single" w:color="000000" w:sz="4" w:space="0"/>
              <w:left w:val="single" w:color="000000" w:sz="4" w:space="0"/>
              <w:bottom w:val="single" w:color="000000" w:sz="4" w:space="0"/>
              <w:right w:val="nil"/>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Style w:val="49"/>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D</w:t>
            </w:r>
            <w:r>
              <w:rPr>
                <w:rFonts w:hint="default" w:ascii="Times New Roman" w:hAnsi="Times New Roman" w:cs="Times New Roman"/>
                <w:b w:val="0"/>
                <w:color w:val="000000"/>
                <w:sz w:val="18"/>
                <w:szCs w:val="18"/>
                <w:vertAlign w:val="subscript"/>
              </w:rPr>
              <w:t>90</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pStyle w:val="20"/>
              <w:keepNext w:val="0"/>
              <w:keepLines w:val="0"/>
              <w:pageBreakBefore w:val="0"/>
              <w:widowControl/>
              <w:suppressLineNumbers w:val="0"/>
              <w:tabs>
                <w:tab w:val="center" w:pos="4201"/>
                <w:tab w:val="right" w:leader="dot" w:pos="9298"/>
              </w:tabs>
              <w:kinsoku/>
              <w:wordWrap/>
              <w:overflowPunct/>
              <w:topLinePunct w:val="0"/>
              <w:bidi w:val="0"/>
              <w:adjustRightInd w:val="0"/>
              <w:snapToGrid w:val="0"/>
              <w:spacing w:before="0" w:beforeAutospacing="0" w:after="0" w:afterAutospacing="0" w:line="360" w:lineRule="exact"/>
              <w:ind w:left="0" w:right="0" w:firstLine="0" w:firstLineChars="0"/>
              <w:jc w:val="left"/>
              <w:textAlignment w:val="auto"/>
              <w:rPr>
                <w:rFonts w:hint="eastAsia" w:ascii="宋体" w:hAnsi="宋体" w:eastAsia="宋体" w:cs="宋体"/>
                <w:b w:val="0"/>
                <w:color w:val="000000"/>
                <w:sz w:val="18"/>
                <w:szCs w:val="18"/>
              </w:rPr>
            </w:pPr>
            <w:r>
              <w:rPr>
                <w:rFonts w:hint="eastAsia" w:ascii="宋体" w:hAnsi="宋体" w:eastAsia="宋体" w:cs="宋体"/>
                <w:b w:val="0"/>
                <w:color w:val="000000"/>
                <w:sz w:val="18"/>
                <w:szCs w:val="18"/>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napToGrid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highlight w:val="none"/>
              </w:rPr>
            </w:pPr>
            <w:r>
              <w:rPr>
                <w:rFonts w:hint="default" w:ascii="Times New Roman" w:hAnsi="Times New Roman" w:cs="Times New Roman"/>
                <w:b w:val="0"/>
                <w:color w:val="000000"/>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top w:val="single" w:color="000000" w:sz="4" w:space="0"/>
              <w:left w:val="single" w:color="000000" w:sz="4" w:space="0"/>
              <w:bottom w:val="single" w:color="000000" w:sz="4" w:space="0"/>
              <w:right w:val="nil"/>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eastAsia" w:ascii="Times New Roman" w:hAnsi="Times New Roman" w:eastAsia="宋体" w:cs="Times New Roman"/>
                <w:b w:val="0"/>
                <w:color w:val="000000"/>
                <w:sz w:val="18"/>
                <w:szCs w:val="18"/>
                <w:highlight w:val="none"/>
                <w:lang w:eastAsia="zh-CN"/>
              </w:rPr>
            </w:pPr>
            <w:r>
              <w:rPr>
                <w:rFonts w:hint="default" w:ascii="Times New Roman" w:hAnsi="Times New Roman" w:cs="Times New Roman"/>
                <w:b w:val="0"/>
                <w:color w:val="000000"/>
                <w:sz w:val="18"/>
                <w:szCs w:val="18"/>
              </w:rPr>
              <w:t>比表面积</w:t>
            </w:r>
            <w:r>
              <w:rPr>
                <w:rFonts w:hint="eastAsia" w:ascii="Times New Roman" w:hAnsi="Times New Roman" w:cs="Times New Roman"/>
                <w:b w:val="0"/>
                <w:color w:val="000000"/>
                <w:sz w:val="18"/>
                <w:szCs w:val="18"/>
                <w:lang w:val="en-US" w:eastAsia="zh-CN"/>
              </w:rPr>
              <w:t>/</w:t>
            </w:r>
            <w:r>
              <w:rPr>
                <w:rFonts w:hint="eastAsia" w:ascii="Times New Roman" w:hAnsi="Times New Roman" w:cs="Times New Roman"/>
                <w:b w:val="0"/>
                <w:color w:val="000000"/>
                <w:sz w:val="18"/>
                <w:szCs w:val="18"/>
                <w:lang w:eastAsia="zh-CN"/>
              </w:rPr>
              <w:t>（</w:t>
            </w:r>
            <w:r>
              <w:rPr>
                <w:rFonts w:hint="default" w:ascii="Times New Roman" w:hAnsi="Times New Roman" w:cs="Times New Roman"/>
                <w:b w:val="0"/>
                <w:color w:val="000000"/>
                <w:sz w:val="18"/>
                <w:szCs w:val="18"/>
              </w:rPr>
              <w:t>m</w:t>
            </w:r>
            <w:r>
              <w:rPr>
                <w:rFonts w:hint="default" w:ascii="Times New Roman" w:hAnsi="Times New Roman" w:cs="Times New Roman"/>
                <w:b w:val="0"/>
                <w:color w:val="000000"/>
                <w:sz w:val="18"/>
                <w:szCs w:val="18"/>
                <w:vertAlign w:val="superscript"/>
              </w:rPr>
              <w:t>2</w:t>
            </w:r>
            <w:r>
              <w:rPr>
                <w:rFonts w:hint="default" w:ascii="Times New Roman" w:hAnsi="Times New Roman" w:cs="Times New Roman"/>
                <w:b w:val="0"/>
                <w:color w:val="000000"/>
                <w:sz w:val="18"/>
                <w:szCs w:val="18"/>
              </w:rPr>
              <w:t>/g</w:t>
            </w:r>
            <w:r>
              <w:rPr>
                <w:rFonts w:hint="eastAsia" w:ascii="Times New Roman" w:hAnsi="Times New Roman" w:cs="Times New Roman"/>
                <w:b w:val="0"/>
                <w:color w:val="000000"/>
                <w:sz w:val="18"/>
                <w:szCs w:val="18"/>
                <w:lang w:eastAsia="zh-CN"/>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Style w:val="49"/>
                <w:rFonts w:hint="eastAsia" w:ascii="宋体" w:hAnsi="宋体" w:eastAsia="宋体" w:cs="宋体"/>
                <w:b w:val="0"/>
                <w:color w:val="000000"/>
                <w:sz w:val="18"/>
                <w:szCs w:val="18"/>
                <w:highlight w:val="none"/>
              </w:rPr>
            </w:pPr>
            <w:r>
              <w:rPr>
                <w:rStyle w:val="49"/>
                <w:rFonts w:hint="eastAsia" w:ascii="宋体" w:hAnsi="宋体" w:eastAsia="宋体" w:cs="宋体"/>
                <w:b w:val="0"/>
                <w:color w:val="000000"/>
                <w:sz w:val="18"/>
                <w:szCs w:val="18"/>
                <w:highlight w:val="none"/>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highlight w:val="none"/>
                <w:lang w:val="en-US" w:eastAsia="zh-CN"/>
              </w:rPr>
            </w:pPr>
            <w:r>
              <w:rPr>
                <w:rFonts w:hint="default" w:ascii="Times New Roman" w:hAnsi="Times New Roman" w:cs="Times New Roman"/>
                <w:b w:val="0"/>
                <w:color w:val="000000"/>
                <w:sz w:val="18"/>
                <w:szCs w:val="18"/>
                <w:highlight w:val="none"/>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top w:val="single" w:color="000000" w:sz="4" w:space="0"/>
              <w:left w:val="single" w:color="000000" w:sz="4" w:space="0"/>
              <w:bottom w:val="single" w:color="000000" w:sz="4" w:space="0"/>
              <w:right w:val="nil"/>
            </w:tcBorders>
            <w:shd w:val="clear" w:color="auto" w:fill="FFFFFF"/>
            <w:vAlign w:val="top"/>
          </w:tcPr>
          <w:p>
            <w:pPr>
              <w:keepNext w:val="0"/>
              <w:keepLines w:val="0"/>
              <w:pageBreakBefore w:val="0"/>
              <w:suppressLineNumbers w:val="0"/>
              <w:kinsoku/>
              <w:wordWrap/>
              <w:overflowPunct/>
              <w:topLinePunct w:val="0"/>
              <w:bidi w:val="0"/>
              <w:spacing w:before="0" w:beforeAutospacing="0" w:after="0" w:afterAutospacing="0" w:line="360" w:lineRule="exact"/>
              <w:ind w:left="0" w:right="0"/>
              <w:textAlignment w:val="auto"/>
              <w:rPr>
                <w:rFonts w:hint="eastAsia" w:ascii="Times New Roman" w:hAnsi="Times New Roman" w:eastAsia="宋体" w:cs="Times New Roman"/>
                <w:b w:val="0"/>
                <w:strike w:val="0"/>
                <w:dstrike w:val="0"/>
                <w:color w:val="000000"/>
                <w:sz w:val="18"/>
                <w:szCs w:val="18"/>
                <w:highlight w:val="none"/>
                <w:lang w:eastAsia="zh-CN"/>
              </w:rPr>
            </w:pPr>
            <w:r>
              <w:rPr>
                <w:rFonts w:hint="default" w:ascii="Times New Roman" w:hAnsi="Times New Roman" w:cs="Times New Roman"/>
                <w:b w:val="0"/>
                <w:strike w:val="0"/>
                <w:dstrike w:val="0"/>
                <w:color w:val="000000"/>
                <w:sz w:val="18"/>
                <w:szCs w:val="18"/>
              </w:rPr>
              <w:t>pH</w:t>
            </w:r>
            <w:r>
              <w:rPr>
                <w:rFonts w:hint="default" w:ascii="Times New Roman" w:hAnsi="Times New Roman" w:cs="Times New Roman"/>
                <w:b w:val="0"/>
                <w:strike w:val="0"/>
                <w:dstrike w:val="0"/>
                <w:color w:val="000000"/>
                <w:sz w:val="18"/>
                <w:szCs w:val="18"/>
                <w:lang w:eastAsia="zh-CN"/>
              </w:rPr>
              <w:t>（</w:t>
            </w:r>
            <w:r>
              <w:rPr>
                <w:rFonts w:hint="default" w:ascii="Times New Roman" w:hAnsi="Times New Roman" w:cs="Times New Roman"/>
                <w:b w:val="0"/>
                <w:strike w:val="0"/>
                <w:dstrike w:val="0"/>
                <w:color w:val="000000"/>
                <w:sz w:val="18"/>
                <w:szCs w:val="18"/>
                <w:lang w:val="en-US" w:eastAsia="zh-CN"/>
              </w:rPr>
              <w:t>100 g/L溶液</w:t>
            </w:r>
            <w:r>
              <w:rPr>
                <w:rFonts w:hint="default" w:ascii="Times New Roman" w:hAnsi="Times New Roman" w:cs="Times New Roman"/>
                <w:b w:val="0"/>
                <w:strike w:val="0"/>
                <w:dstrike w:val="0"/>
                <w:color w:val="000000"/>
                <w:sz w:val="18"/>
                <w:szCs w:val="18"/>
                <w:lang w:eastAsia="zh-CN"/>
              </w:rPr>
              <w:t>）</w:t>
            </w:r>
          </w:p>
        </w:tc>
        <w:tc>
          <w:tcPr>
            <w:tcW w:w="350"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Style w:val="49"/>
                <w:rFonts w:hint="eastAsia" w:ascii="宋体" w:hAnsi="宋体" w:eastAsia="宋体" w:cs="宋体"/>
                <w:b w:val="0"/>
                <w:strike w:val="0"/>
                <w:dstrike w:val="0"/>
                <w:color w:val="000000"/>
                <w:sz w:val="18"/>
                <w:szCs w:val="18"/>
                <w:highlight w:val="none"/>
              </w:rPr>
            </w:pPr>
            <w:r>
              <w:rPr>
                <w:rStyle w:val="49"/>
                <w:rFonts w:hint="eastAsia" w:ascii="宋体" w:hAnsi="宋体" w:eastAsia="宋体" w:cs="宋体"/>
                <w:b w:val="0"/>
                <w:strike w:val="0"/>
                <w:dstrike w:val="0"/>
                <w:color w:val="000000"/>
                <w:sz w:val="18"/>
                <w:szCs w:val="18"/>
                <w:highlight w:val="none"/>
              </w:rPr>
              <w:t>≤</w:t>
            </w:r>
          </w:p>
        </w:tc>
        <w:tc>
          <w:tcPr>
            <w:tcW w:w="628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strike w:val="0"/>
                <w:dstrike w:val="0"/>
                <w:color w:val="000000"/>
                <w:sz w:val="18"/>
                <w:szCs w:val="18"/>
                <w:highlight w:val="none"/>
                <w:lang w:val="en-US" w:eastAsia="zh-CN"/>
              </w:rPr>
            </w:pPr>
            <w:r>
              <w:rPr>
                <w:rFonts w:hint="default" w:ascii="Times New Roman" w:hAnsi="Times New Roman" w:cs="Times New Roman"/>
                <w:b w:val="0"/>
                <w:strike w:val="0"/>
                <w:dstrike w:val="0"/>
                <w:color w:val="000000"/>
                <w:sz w:val="18"/>
                <w:szCs w:val="18"/>
                <w:highlight w:val="none"/>
                <w:lang w:val="en-US" w:eastAsia="zh-CN"/>
              </w:rPr>
              <w:t>13</w:t>
            </w:r>
          </w:p>
        </w:tc>
      </w:tr>
    </w:tbl>
    <w:p>
      <w:pPr>
        <w:widowControl/>
        <w:spacing w:line="400" w:lineRule="exact"/>
        <w:ind w:firstLine="420" w:firstLineChars="200"/>
        <w:rPr>
          <w:rFonts w:hint="eastAsia" w:ascii="黑体" w:hAnsi="黑体" w:eastAsia="黑体" w:cs="黑体"/>
          <w:szCs w:val="21"/>
          <w:lang w:eastAsia="zh-CN"/>
        </w:rPr>
      </w:pPr>
      <w:r>
        <w:rPr>
          <w:rFonts w:hint="eastAsia" w:ascii="黑体" w:hAnsi="黑体" w:eastAsia="黑体" w:cs="黑体"/>
          <w:szCs w:val="21"/>
          <w:lang w:eastAsia="zh-CN"/>
        </w:rPr>
        <w:t>（3）</w:t>
      </w:r>
      <w:r>
        <w:rPr>
          <w:rFonts w:hint="default" w:ascii="黑体" w:hAnsi="黑体" w:eastAsia="黑体" w:cs="黑体"/>
          <w:szCs w:val="21"/>
          <w:lang w:eastAsia="zh-CN"/>
        </w:rPr>
        <w:t>电化学性能</w:t>
      </w:r>
    </w:p>
    <w:p>
      <w:pPr>
        <w:spacing w:before="156" w:beforeLines="50" w:after="156" w:afterLines="50" w:line="400" w:lineRule="exact"/>
        <w:ind w:firstLine="420" w:firstLineChars="200"/>
        <w:outlineLvl w:val="1"/>
        <w:rPr>
          <w:rFonts w:hint="default" w:ascii="Times New Roman" w:hAnsi="Times New Roman" w:eastAsia="黑体" w:cs="Times New Roman"/>
          <w:szCs w:val="21"/>
          <w:highlight w:val="none"/>
        </w:rPr>
      </w:pPr>
      <w:r>
        <w:rPr>
          <w:rFonts w:hint="default" w:ascii="Times New Roman" w:hAnsi="Times New Roman" w:eastAsia="黑体" w:cs="Times New Roman"/>
          <w:szCs w:val="21"/>
          <w:highlight w:val="none"/>
        </w:rPr>
        <w:t>1</w:t>
      </w:r>
      <w:r>
        <w:rPr>
          <w:rFonts w:hint="default" w:ascii="Times New Roman" w:hAnsi="Times New Roman" w:eastAsia="黑体" w:cs="Times New Roman"/>
          <w:szCs w:val="21"/>
          <w:highlight w:val="none"/>
          <w:lang w:eastAsia="zh-CN"/>
        </w:rPr>
        <w:t>）</w:t>
      </w:r>
      <w:r>
        <w:rPr>
          <w:rFonts w:hint="default" w:ascii="Times New Roman" w:hAnsi="Times New Roman" w:eastAsia="黑体" w:cs="Times New Roman"/>
          <w:szCs w:val="21"/>
          <w:highlight w:val="none"/>
        </w:rPr>
        <w:t>首次放电比容量</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首次循环中放电阶段释放的容量（单位：mAh/g），反映材料在初始状态下可逆存储钠离子的能力。​其重要性在于可作为能量密度基准，首次放电容量直接决定电池的理论能量密度上限，是衡量材料活性的核心指标。例如，若材料首次放电容量为140 mAh/g，而负极容量为300 mAh/g，则全电池设计需基于正极容量进行匹配。其次，结构稳定性预判，高首次容量通常表明材料晶体结构在首周充放电中未发生严重破坏（如层状结构坍塌、不可逆相变）。再有就是工艺验证，合成工艺（如煅烧温度、掺杂比例）是否有效，需通过首次容量验证其可行性。</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针对层状氧化物（如NaNi₀.₃Mn₀.₅Ti₀.₂O₂）通常120～150 mAh/g（电压范围2.0-4.0 V vs. Na⁺/Na）。产品在电压范围2 V～4 V，0.1 C 充放电倍率条件下的首次充放电比容量120～125 mAh/g。</w:t>
      </w:r>
    </w:p>
    <w:p>
      <w:pPr>
        <w:spacing w:before="156" w:beforeLines="50" w:after="156" w:afterLines="50" w:line="400" w:lineRule="exact"/>
        <w:ind w:firstLine="420" w:firstLineChars="200"/>
        <w:outlineLvl w:val="1"/>
        <w:rPr>
          <w:rFonts w:hint="default" w:ascii="Times New Roman" w:hAnsi="Times New Roman" w:eastAsia="黑体" w:cs="Times New Roman"/>
          <w:szCs w:val="21"/>
        </w:rPr>
      </w:pPr>
      <w:r>
        <w:rPr>
          <w:rFonts w:hint="default" w:ascii="Times New Roman" w:hAnsi="Times New Roman" w:eastAsia="黑体" w:cs="Times New Roman"/>
          <w:szCs w:val="21"/>
        </w:rPr>
        <w:t>2</w:t>
      </w:r>
      <w:r>
        <w:rPr>
          <w:rFonts w:hint="default" w:ascii="Times New Roman" w:hAnsi="Times New Roman" w:eastAsia="黑体" w:cs="Times New Roman"/>
          <w:szCs w:val="21"/>
          <w:lang w:eastAsia="zh-CN"/>
        </w:rPr>
        <w:t>）</w:t>
      </w:r>
      <w:r>
        <w:rPr>
          <w:rFonts w:hint="default" w:ascii="Times New Roman" w:hAnsi="Times New Roman" w:eastAsia="黑体" w:cs="Times New Roman"/>
          <w:szCs w:val="21"/>
        </w:rPr>
        <w:t>首次充放电效率</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首次放电容量与充电容量的比值（ICE = 放电容量/充电容量×100%），反映首次循环中的不可逆容量损失。其重要性首选在于可反应出能量效率与成本，低ICE（如&lt;70%）意味着大量钠离子在首周被消耗于不可逆反应（如SEI膜形成、电解液分解），需在负极预存过量钠补偿，增加电池成本。其次，可作为循环寿命预测，首周不可逆损失常伴随结构缺陷（如晶格氧释放、过渡金属溶解），预示后续循环中容量衰减可能加速。再有就是反应界面稳定性，ICE与正极-电解液界面副反应强度直接相关，是评估材料兼容性的关键。</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针对层状氧化物：75-85%（如NaNi₀.₅Mn₀.₃Ti₀.₂O₂ ICE≈80%）。产品在电压范围2 V～4 V，0.1 C 充放电倍率条件下的首次充放电效率应不小于90%。</w:t>
      </w:r>
    </w:p>
    <w:p>
      <w:pPr>
        <w:spacing w:line="340" w:lineRule="exact"/>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首次放电比容量和首次充放电效率是钠离子正极材料从实验室迈向产业化的“双重门槛”。高容量（&gt;120 mAh/g）与高ICE（&gt;80%）的协同优化需通过材料设计（组分/结构）、工艺控制（合成/后处理）及系统匹配（电解液/负极）的综合策略实现。建议优先解决表面副反应和钠离子扩散动力学瓶颈，并建立“材料-电极-电池”三级验证体系，加速商业化进程。</w:t>
      </w:r>
      <w:bookmarkStart w:id="4" w:name="OLE_LINK8"/>
    </w:p>
    <w:bookmarkEnd w:id="4"/>
    <w:p>
      <w:pPr>
        <w:spacing w:line="340" w:lineRule="exact"/>
        <w:ind w:firstLine="420"/>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钠离子电池用镍锰钛酸钠</w:t>
      </w:r>
      <w:r>
        <w:rPr>
          <w:rFonts w:hint="default" w:ascii="Times New Roman" w:hAnsi="Times New Roman" w:eastAsia="宋体" w:cs="Times New Roman"/>
          <w:color w:val="auto"/>
          <w:lang w:val="en-US" w:eastAsia="zh-CN"/>
        </w:rPr>
        <w:t>电化学性能指标应符合表2的规定。</w:t>
      </w:r>
    </w:p>
    <w:p>
      <w:pPr>
        <w:spacing w:line="340" w:lineRule="exact"/>
        <w:jc w:val="center"/>
        <w:rPr>
          <w:rFonts w:hint="default" w:ascii="Times New Roman" w:hAnsi="Times New Roman" w:eastAsia="宋体" w:cs="Times New Roman"/>
          <w:color w:val="auto"/>
          <w:lang w:val="en-US" w:eastAsia="zh-CN"/>
        </w:rPr>
      </w:pPr>
      <w:r>
        <w:rPr>
          <w:rFonts w:hint="eastAsia" w:ascii="Times New Roman" w:hAnsi="Times New Roman" w:cs="Times New Roman"/>
          <w:color w:val="auto"/>
          <w:lang w:val="en-US" w:eastAsia="zh-CN"/>
        </w:rPr>
        <w:t>表2</w:t>
      </w:r>
    </w:p>
    <w:tbl>
      <w:tblPr>
        <w:tblStyle w:val="12"/>
        <w:tblW w:w="946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43"/>
        <w:gridCol w:w="326"/>
        <w:gridCol w:w="3143"/>
        <w:gridCol w:w="6"/>
        <w:gridCol w:w="3137"/>
        <w:gridCol w:w="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69" w:type="dxa"/>
            <w:gridSpan w:val="2"/>
            <w:vMerge w:val="restar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项   目</w:t>
            </w:r>
          </w:p>
        </w:tc>
        <w:tc>
          <w:tcPr>
            <w:tcW w:w="629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p>
        </w:tc>
        <w:tc>
          <w:tcPr>
            <w:tcW w:w="31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r>
              <w:rPr>
                <w:rFonts w:hint="eastAsia" w:ascii="Times New Roman" w:hAnsi="宋体"/>
                <w:b w:val="0"/>
                <w:color w:val="000000"/>
                <w:kern w:val="2"/>
                <w:szCs w:val="24"/>
              </w:rPr>
              <w:t>Ⅰ</w:t>
            </w:r>
            <w:r>
              <w:rPr>
                <w:rFonts w:hint="default" w:ascii="Times New Roman"/>
                <w:b w:val="0"/>
                <w:color w:val="000000"/>
                <w:kern w:val="2"/>
                <w:szCs w:val="24"/>
              </w:rPr>
              <w:t>型</w:t>
            </w:r>
          </w:p>
        </w:tc>
        <w:tc>
          <w:tcPr>
            <w:tcW w:w="314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suppressLineNumbers w:val="0"/>
              <w:kinsoku/>
              <w:wordWrap/>
              <w:overflowPunct/>
              <w:topLinePunct w:val="0"/>
              <w:bidi w:val="0"/>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lang w:val="en-US" w:eastAsia="zh-CN"/>
              </w:rPr>
            </w:pPr>
            <w:r>
              <w:rPr>
                <w:rFonts w:hint="eastAsia" w:ascii="Times New Roman" w:hAnsi="宋体"/>
                <w:b w:val="0"/>
                <w:color w:val="000000"/>
                <w:kern w:val="2"/>
                <w:szCs w:val="24"/>
              </w:rPr>
              <w:t>Ⅱ</w:t>
            </w:r>
            <w:r>
              <w:rPr>
                <w:rFonts w:hint="default" w:ascii="Times New Roman"/>
                <w:b w:val="0"/>
                <w:color w:val="000000"/>
                <w:kern w:val="2"/>
                <w:szCs w:val="24"/>
              </w:rPr>
              <w:t>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2" w:type="dxa"/>
        </w:trPr>
        <w:tc>
          <w:tcPr>
            <w:tcW w:w="2843" w:type="dxa"/>
            <w:tcBorders>
              <w:top w:val="single" w:color="auto" w:sz="4" w:space="0"/>
              <w:left w:val="single" w:color="auto" w:sz="4" w:space="0"/>
              <w:bottom w:val="single" w:color="000000" w:sz="4" w:space="0"/>
              <w:right w:val="nil"/>
            </w:tcBorders>
            <w:shd w:val="clear" w:color="auto" w:fill="FFFFFF"/>
            <w:vAlign w:val="top"/>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textAlignment w:val="auto"/>
              <w:rPr>
                <w:rFonts w:hint="eastAsia" w:eastAsia="宋体"/>
                <w:b w:val="0"/>
                <w:color w:val="000000"/>
                <w:sz w:val="18"/>
                <w:szCs w:val="18"/>
                <w:lang w:val="en-US" w:eastAsia="zh-CN"/>
              </w:rPr>
            </w:pPr>
            <w:r>
              <w:rPr>
                <w:rFonts w:hint="eastAsia"/>
                <w:b w:val="0"/>
                <w:color w:val="000000"/>
                <w:sz w:val="18"/>
                <w:szCs w:val="18"/>
              </w:rPr>
              <w:t>首次放电比容量</w:t>
            </w:r>
            <w:r>
              <w:rPr>
                <w:rFonts w:hint="eastAsia"/>
                <w:b w:val="0"/>
                <w:color w:val="000000"/>
                <w:sz w:val="18"/>
                <w:szCs w:val="18"/>
                <w:lang w:val="en-US" w:eastAsia="zh-CN"/>
              </w:rPr>
              <w:t>/</w:t>
            </w:r>
            <w:r>
              <w:rPr>
                <w:rFonts w:hint="default" w:ascii="Times New Roman" w:hAnsi="Times New Roman" w:cs="Times New Roman"/>
                <w:b w:val="0"/>
                <w:color w:val="000000"/>
                <w:sz w:val="18"/>
                <w:szCs w:val="18"/>
              </w:rPr>
              <w:t xml:space="preserve"> mAh/g</w:t>
            </w:r>
          </w:p>
        </w:tc>
        <w:tc>
          <w:tcPr>
            <w:tcW w:w="32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Style w:val="49"/>
                <w:rFonts w:hint="eastAsia" w:hAnsi="宋体"/>
                <w:b w:val="0"/>
                <w:color w:val="000000"/>
                <w:sz w:val="18"/>
                <w:szCs w:val="18"/>
              </w:rPr>
            </w:pPr>
            <w:r>
              <w:rPr>
                <w:rFonts w:hint="eastAsia" w:cs="宋体"/>
                <w:b w:val="0"/>
                <w:color w:val="000000"/>
                <w:sz w:val="18"/>
                <w:szCs w:val="18"/>
              </w:rPr>
              <w:t>≥</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cs="Times New Roman"/>
                <w:b w:val="0"/>
                <w:color w:val="000000"/>
                <w:sz w:val="18"/>
                <w:szCs w:val="18"/>
              </w:rPr>
            </w:pPr>
            <w:r>
              <w:rPr>
                <w:rFonts w:hint="default" w:ascii="Times New Roman" w:hAnsi="Times New Roman" w:cs="Times New Roman"/>
                <w:b w:val="0"/>
                <w:color w:val="000000"/>
                <w:sz w:val="18"/>
                <w:szCs w:val="18"/>
              </w:rPr>
              <w:t>1</w:t>
            </w:r>
            <w:r>
              <w:rPr>
                <w:rFonts w:hint="eastAsia" w:ascii="Times New Roman" w:hAnsi="Times New Roman" w:cs="Times New Roman"/>
                <w:b w:val="0"/>
                <w:color w:val="000000"/>
                <w:sz w:val="18"/>
                <w:szCs w:val="18"/>
                <w:lang w:val="en-US" w:eastAsia="zh-CN"/>
              </w:rPr>
              <w:t>2</w:t>
            </w:r>
            <w:r>
              <w:rPr>
                <w:rFonts w:hint="default" w:ascii="Times New Roman" w:hAnsi="Times New Roman" w:cs="Times New Roman"/>
                <w:b w:val="0"/>
                <w:color w:val="000000"/>
                <w:sz w:val="18"/>
                <w:szCs w:val="18"/>
              </w:rPr>
              <w:t>5</w:t>
            </w:r>
          </w:p>
        </w:tc>
        <w:tc>
          <w:tcPr>
            <w:tcW w:w="314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2" w:type="dxa"/>
        </w:trPr>
        <w:tc>
          <w:tcPr>
            <w:tcW w:w="2843" w:type="dxa"/>
            <w:tcBorders>
              <w:top w:val="single" w:color="000000" w:sz="4" w:space="0"/>
              <w:left w:val="single" w:color="auto" w:sz="4" w:space="0"/>
              <w:bottom w:val="single" w:color="auto" w:sz="4" w:space="0"/>
              <w:right w:val="nil"/>
            </w:tcBorders>
            <w:shd w:val="clear" w:color="auto" w:fill="FFFFFF"/>
            <w:vAlign w:val="top"/>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textAlignment w:val="auto"/>
              <w:rPr>
                <w:rFonts w:hint="eastAsia"/>
                <w:b w:val="0"/>
                <w:color w:val="000000"/>
                <w:sz w:val="18"/>
                <w:szCs w:val="18"/>
              </w:rPr>
            </w:pPr>
            <w:r>
              <w:rPr>
                <w:rFonts w:hint="eastAsia"/>
                <w:b w:val="0"/>
                <w:color w:val="000000"/>
                <w:sz w:val="18"/>
                <w:szCs w:val="18"/>
              </w:rPr>
              <w:t>首次充放电效率</w:t>
            </w:r>
            <w:r>
              <w:rPr>
                <w:rFonts w:hint="eastAsia"/>
                <w:b w:val="0"/>
                <w:color w:val="000000"/>
                <w:sz w:val="18"/>
                <w:szCs w:val="18"/>
                <w:lang w:val="en-US" w:eastAsia="zh-CN"/>
              </w:rPr>
              <w:t>/</w:t>
            </w:r>
            <w:r>
              <w:rPr>
                <w:rFonts w:hint="default" w:ascii="Times New Roman" w:hAnsi="Times New Roman" w:cs="Times New Roman"/>
                <w:b w:val="0"/>
                <w:color w:val="000000"/>
                <w:sz w:val="18"/>
                <w:szCs w:val="18"/>
              </w:rPr>
              <w:t>%</w:t>
            </w:r>
          </w:p>
        </w:tc>
        <w:tc>
          <w:tcPr>
            <w:tcW w:w="326" w:type="dxa"/>
            <w:tcBorders>
              <w:top w:val="single" w:color="000000" w:sz="4" w:space="0"/>
              <w:left w:val="nil"/>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Style w:val="49"/>
                <w:rFonts w:hint="eastAsia" w:hAnsi="宋体"/>
                <w:b w:val="0"/>
                <w:color w:val="000000"/>
                <w:sz w:val="18"/>
                <w:szCs w:val="18"/>
              </w:rPr>
            </w:pPr>
            <w:r>
              <w:rPr>
                <w:rFonts w:hint="eastAsia" w:cs="宋体"/>
                <w:b w:val="0"/>
                <w:color w:val="000000"/>
                <w:sz w:val="18"/>
                <w:szCs w:val="18"/>
              </w:rPr>
              <w:t>≥</w:t>
            </w:r>
          </w:p>
        </w:tc>
        <w:tc>
          <w:tcPr>
            <w:tcW w:w="31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Fonts w:hint="eastAsia" w:ascii="Times New Roman" w:hAnsi="Times New Roman" w:eastAsia="宋体" w:cs="Times New Roman"/>
                <w:b w:val="0"/>
                <w:color w:val="000000"/>
                <w:sz w:val="18"/>
                <w:szCs w:val="18"/>
                <w:lang w:val="en-US" w:eastAsia="zh-CN"/>
              </w:rPr>
            </w:pPr>
            <w:r>
              <w:rPr>
                <w:rFonts w:hint="default" w:ascii="Times New Roman" w:hAnsi="Times New Roman" w:cs="Times New Roman"/>
                <w:b w:val="0"/>
                <w:color w:val="000000"/>
                <w:sz w:val="18"/>
                <w:szCs w:val="18"/>
              </w:rPr>
              <w:t>9</w:t>
            </w:r>
            <w:r>
              <w:rPr>
                <w:rFonts w:hint="eastAsia" w:ascii="Times New Roman" w:hAnsi="Times New Roman" w:cs="Times New Roman"/>
                <w:b w:val="0"/>
                <w:color w:val="000000"/>
                <w:sz w:val="18"/>
                <w:szCs w:val="18"/>
                <w:lang w:val="en-US" w:eastAsia="zh-CN"/>
              </w:rPr>
              <w:t>0</w:t>
            </w:r>
          </w:p>
        </w:tc>
        <w:tc>
          <w:tcPr>
            <w:tcW w:w="314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360" w:lineRule="exact"/>
              <w:ind w:left="0" w:right="0"/>
              <w:jc w:val="center"/>
              <w:textAlignment w:val="auto"/>
              <w:rPr>
                <w:rFonts w:hint="default" w:ascii="Times New Roman" w:hAnsi="Times New Roman" w:eastAsia="宋体"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90</w:t>
            </w:r>
          </w:p>
        </w:tc>
      </w:tr>
    </w:tbl>
    <w:p>
      <w:pPr>
        <w:spacing w:before="156" w:beforeLines="50" w:after="156" w:afterLines="50" w:line="400" w:lineRule="exact"/>
        <w:outlineLvl w:val="1"/>
        <w:rPr>
          <w:rFonts w:ascii="黑体" w:hAnsi="黑体" w:eastAsia="黑体" w:cs="黑体"/>
          <w:szCs w:val="21"/>
        </w:rPr>
      </w:pPr>
      <w:r>
        <w:rPr>
          <w:rFonts w:ascii="黑体" w:hAnsi="黑体" w:eastAsia="黑体" w:cs="黑体"/>
          <w:szCs w:val="21"/>
        </w:rPr>
        <w:t>3</w:t>
      </w:r>
      <w:r>
        <w:rPr>
          <w:rFonts w:hint="eastAsia" w:ascii="黑体" w:hAnsi="黑体" w:eastAsia="黑体" w:cs="黑体"/>
          <w:szCs w:val="21"/>
          <w:lang w:eastAsia="zh-CN"/>
        </w:rPr>
        <w:t>、</w:t>
      </w:r>
      <w:r>
        <w:rPr>
          <w:rFonts w:hint="eastAsia" w:ascii="黑体" w:hAnsi="黑体" w:eastAsia="黑体" w:cs="黑体"/>
          <w:szCs w:val="21"/>
        </w:rPr>
        <w:t>试验方法的确定</w:t>
      </w:r>
    </w:p>
    <w:p>
      <w:pPr>
        <w:spacing w:before="156" w:beforeLines="50" w:after="156" w:afterLines="50" w:line="400" w:lineRule="exact"/>
        <w:outlineLvl w:val="1"/>
        <w:rPr>
          <w:rFonts w:hint="default"/>
        </w:rPr>
      </w:pPr>
      <w:r>
        <w:rPr>
          <w:rFonts w:ascii="黑体" w:hAnsi="黑体" w:eastAsia="黑体" w:cs="黑体"/>
          <w:szCs w:val="21"/>
        </w:rPr>
        <w:t>3.</w:t>
      </w:r>
      <w:r>
        <w:rPr>
          <w:rFonts w:hint="eastAsia" w:ascii="黑体" w:hAnsi="黑体" w:eastAsia="黑体" w:cs="黑体"/>
          <w:szCs w:val="21"/>
        </w:rPr>
        <w:t xml:space="preserve">1 </w:t>
      </w:r>
      <w:r>
        <w:rPr>
          <w:rFonts w:hint="default"/>
        </w:rPr>
        <w:t>钠</w:t>
      </w:r>
      <w:r>
        <w:rPr>
          <w:rFonts w:hint="eastAsia"/>
          <w:lang w:eastAsia="zh-CN"/>
        </w:rPr>
        <w:t>、</w:t>
      </w:r>
      <w:r>
        <w:rPr>
          <w:rFonts w:hint="default"/>
        </w:rPr>
        <w:t>镍</w:t>
      </w:r>
      <w:r>
        <w:rPr>
          <w:rFonts w:hint="eastAsia"/>
          <w:lang w:eastAsia="zh-CN"/>
        </w:rPr>
        <w:t>、</w:t>
      </w:r>
      <w:r>
        <w:rPr>
          <w:rFonts w:hint="eastAsia"/>
          <w:lang w:val="en-US" w:eastAsia="zh-CN"/>
        </w:rPr>
        <w:t>锰、</w:t>
      </w:r>
      <w:r>
        <w:rPr>
          <w:rFonts w:hint="default"/>
        </w:rPr>
        <w:t>钛</w:t>
      </w:r>
      <w:r>
        <w:rPr>
          <w:rFonts w:hint="eastAsia"/>
          <w:lang w:val="en-US" w:eastAsia="zh-CN"/>
        </w:rPr>
        <w:t>、铜、</w:t>
      </w:r>
      <w:r>
        <w:rPr>
          <w:rFonts w:hint="default"/>
        </w:rPr>
        <w:t>钙</w:t>
      </w:r>
      <w:r>
        <w:rPr>
          <w:rFonts w:hint="eastAsia"/>
          <w:lang w:eastAsia="zh-CN"/>
        </w:rPr>
        <w:t>、</w:t>
      </w:r>
      <w:r>
        <w:rPr>
          <w:rFonts w:hint="default"/>
        </w:rPr>
        <w:t>铬</w:t>
      </w:r>
      <w:r>
        <w:rPr>
          <w:rFonts w:hint="eastAsia"/>
          <w:lang w:eastAsia="zh-CN"/>
        </w:rPr>
        <w:t>、</w:t>
      </w:r>
      <w:r>
        <w:rPr>
          <w:rFonts w:hint="default"/>
        </w:rPr>
        <w:t>锌</w:t>
      </w:r>
      <w:r>
        <w:rPr>
          <w:rFonts w:hint="eastAsia"/>
          <w:lang w:val="en-US" w:eastAsia="zh-CN"/>
        </w:rPr>
        <w:t>含量的测定</w:t>
      </w:r>
    </w:p>
    <w:p>
      <w:pPr>
        <w:spacing w:line="360" w:lineRule="exact"/>
        <w:ind w:firstLine="420" w:firstLineChars="200"/>
        <w:rPr>
          <w:rFonts w:ascii="Times New Roman" w:hAnsi="Times New Roman"/>
        </w:rPr>
      </w:pPr>
      <w:r>
        <w:rPr>
          <w:rFonts w:hint="eastAsia" w:ascii="Times New Roman" w:hAnsi="Times New Roman"/>
          <w:lang w:val="en-US" w:eastAsia="zh-CN"/>
        </w:rPr>
        <w:t>上述元素的测定采用</w:t>
      </w:r>
      <w:r>
        <w:rPr>
          <w:rFonts w:ascii="Times New Roman" w:hAnsi="Times New Roman"/>
        </w:rPr>
        <w:t>电感耦合等离子体发射光谱</w:t>
      </w:r>
      <w:r>
        <w:rPr>
          <w:rFonts w:hint="eastAsia" w:ascii="Times New Roman" w:hAnsi="Times New Roman"/>
          <w:lang w:val="en-US" w:eastAsia="zh-CN"/>
        </w:rPr>
        <w:t>法，该方法目前广泛用于涉及离子电池制造的上下游行业，且均被各相关利益方所接受。其方法的测定原理为：</w:t>
      </w:r>
      <w:r>
        <w:rPr>
          <w:rFonts w:hint="eastAsia" w:ascii="Times New Roman" w:hAnsi="Times New Roman"/>
        </w:rPr>
        <w:t>试样在酸性条件下溶解后，注入电感耦合等离子体发射光谱仪，由载气带入雾化系统进行雾化后，以气溶胶形式进入等离子体。在高温和惰性气体中被充分蒸发、原子化、电离和激发，发射出所含元素的特征谱线。根据元素浓度与元素特征谱线强度的正比关系，采用标准曲线法对相应元素进行定量分析。</w:t>
      </w:r>
    </w:p>
    <w:p>
      <w:pPr>
        <w:spacing w:before="156" w:beforeLines="50" w:after="156" w:afterLines="50" w:line="400" w:lineRule="exact"/>
        <w:outlineLvl w:val="1"/>
        <w:rPr>
          <w:rFonts w:ascii="黑体" w:hAnsi="黑体" w:eastAsia="黑体" w:cs="黑体"/>
          <w:szCs w:val="21"/>
        </w:rPr>
      </w:pPr>
      <w:r>
        <w:rPr>
          <w:rFonts w:hint="eastAsia" w:ascii="黑体" w:hAnsi="黑体" w:eastAsia="黑体" w:cs="黑体"/>
          <w:szCs w:val="21"/>
        </w:rPr>
        <w:t>3.</w:t>
      </w:r>
      <w:r>
        <w:rPr>
          <w:rFonts w:hint="eastAsia" w:ascii="黑体" w:hAnsi="黑体" w:eastAsia="黑体" w:cs="黑体"/>
          <w:szCs w:val="21"/>
          <w:lang w:val="en-US" w:eastAsia="zh-CN"/>
        </w:rPr>
        <w:t xml:space="preserve">2 </w:t>
      </w:r>
      <w:r>
        <w:rPr>
          <w:rFonts w:hint="eastAsia" w:ascii="黑体" w:hAnsi="黑体" w:eastAsia="黑体" w:cs="黑体"/>
          <w:szCs w:val="21"/>
        </w:rPr>
        <w:t>水分含量</w:t>
      </w:r>
    </w:p>
    <w:p>
      <w:pPr>
        <w:pStyle w:val="20"/>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eastAsia" w:ascii="Times New Roman" w:hAnsi="Times New Roman" w:cs="Times New Roman"/>
          <w:color w:val="auto"/>
        </w:rPr>
        <w:t>按</w:t>
      </w:r>
      <w:r>
        <w:rPr>
          <w:rFonts w:hint="eastAsia" w:ascii="Times New Roman" w:hAnsi="Times New Roman" w:cs="Times New Roman"/>
        </w:rPr>
        <w:t>GB/T 45330</w:t>
      </w:r>
      <w:r>
        <w:rPr>
          <w:rFonts w:hint="default" w:ascii="Times New Roman" w:hAnsi="Times New Roman" w:cs="Times New Roman"/>
          <w:lang w:val="en-US" w:eastAsia="zh-CN"/>
        </w:rPr>
        <w:t xml:space="preserve">  </w:t>
      </w:r>
      <w:r>
        <w:rPr>
          <w:rFonts w:hint="default" w:ascii="Times New Roman" w:hAnsi="Times New Roman" w:cs="Times New Roman"/>
        </w:rPr>
        <w:t>锂离子电池正极材料 水分含量的测定 卡尔费休库伦法</w:t>
      </w:r>
    </w:p>
    <w:p>
      <w:pPr>
        <w:pStyle w:val="20"/>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exact"/>
        <w:textAlignment w:val="auto"/>
        <w:rPr>
          <w:rFonts w:ascii="Times New Roman" w:hAnsi="Times New Roman"/>
          <w:szCs w:val="20"/>
        </w:rPr>
      </w:pPr>
      <w:r>
        <w:rPr>
          <w:rFonts w:ascii="Times New Roman" w:hAnsi="Times New Roman"/>
          <w:szCs w:val="20"/>
        </w:rPr>
        <w:t>化工产品</w:t>
      </w:r>
      <w:r>
        <w:rPr>
          <w:rFonts w:hint="eastAsia" w:ascii="Times New Roman"/>
          <w:szCs w:val="20"/>
          <w:lang w:eastAsia="zh-CN"/>
        </w:rPr>
        <w:t>，</w:t>
      </w:r>
      <w:r>
        <w:rPr>
          <w:rFonts w:hint="eastAsia" w:ascii="Times New Roman"/>
          <w:szCs w:val="20"/>
          <w:lang w:val="en-US" w:eastAsia="zh-CN"/>
        </w:rPr>
        <w:t>尤其是离子电池产品</w:t>
      </w:r>
      <w:r>
        <w:rPr>
          <w:rFonts w:ascii="Times New Roman" w:hAnsi="Times New Roman"/>
          <w:szCs w:val="20"/>
        </w:rPr>
        <w:t>中水分含量的测定常</w:t>
      </w:r>
      <w:r>
        <w:rPr>
          <w:rFonts w:hint="eastAsia" w:ascii="Times New Roman"/>
          <w:szCs w:val="20"/>
          <w:lang w:val="en-US" w:eastAsia="zh-CN"/>
        </w:rPr>
        <w:t>采用</w:t>
      </w:r>
      <w:r>
        <w:rPr>
          <w:rFonts w:hint="eastAsia" w:ascii="Times New Roman" w:hAnsi="Times New Roman" w:cs="Times New Roman"/>
        </w:rPr>
        <w:t>GB/T 45330</w:t>
      </w:r>
      <w:r>
        <w:rPr>
          <w:rFonts w:hint="eastAsia" w:ascii="Times New Roman" w:hAnsi="Times New Roman" w:cs="Times New Roman"/>
          <w:color w:val="auto"/>
          <w:lang w:val="en-US" w:eastAsia="zh-CN"/>
        </w:rPr>
        <w:t>《</w:t>
      </w:r>
      <w:r>
        <w:rPr>
          <w:rFonts w:hint="default" w:ascii="Times New Roman" w:hAnsi="Times New Roman" w:cs="Times New Roman"/>
          <w:color w:val="auto"/>
        </w:rPr>
        <w:t>锂离子电池正极材料 水分含量的测定 卡尔费休库伦法</w:t>
      </w:r>
      <w:r>
        <w:rPr>
          <w:rFonts w:hint="eastAsia" w:ascii="Times New Roman" w:hAnsi="Times New Roman" w:cs="Times New Roman"/>
          <w:color w:val="auto"/>
          <w:lang w:eastAsia="zh-CN"/>
        </w:rPr>
        <w:t>》</w:t>
      </w:r>
      <w:r>
        <w:rPr>
          <w:rFonts w:ascii="Times New Roman" w:hAnsi="Times New Roman"/>
          <w:szCs w:val="20"/>
        </w:rPr>
        <w:t>和GB/T 6284</w:t>
      </w:r>
      <w:r>
        <w:rPr>
          <w:rFonts w:hint="eastAsia" w:ascii="Times New Roman" w:hAnsi="Times New Roman"/>
          <w:szCs w:val="20"/>
        </w:rPr>
        <w:t>《</w:t>
      </w:r>
      <w:r>
        <w:rPr>
          <w:rFonts w:ascii="Times New Roman" w:hAnsi="Times New Roman"/>
          <w:szCs w:val="20"/>
        </w:rPr>
        <w:t>化工产品中水分测定的通用方法 干燥减量法</w:t>
      </w:r>
      <w:r>
        <w:rPr>
          <w:rFonts w:hint="eastAsia" w:ascii="Times New Roman" w:hAnsi="Times New Roman"/>
          <w:szCs w:val="20"/>
        </w:rPr>
        <w:t>》</w:t>
      </w:r>
      <w:r>
        <w:rPr>
          <w:rFonts w:ascii="Times New Roman" w:hAnsi="Times New Roman"/>
          <w:szCs w:val="20"/>
        </w:rPr>
        <w:t>。</w:t>
      </w:r>
      <w:r>
        <w:rPr>
          <w:rFonts w:hint="eastAsia" w:ascii="Times New Roman"/>
          <w:szCs w:val="20"/>
          <w:lang w:val="en-US" w:eastAsia="zh-CN"/>
        </w:rPr>
        <w:t>其中，</w:t>
      </w:r>
      <w:r>
        <w:rPr>
          <w:rFonts w:ascii="Times New Roman" w:hAnsi="Times New Roman"/>
          <w:szCs w:val="20"/>
        </w:rPr>
        <w:t>干燥减量法对设备要求较低，但是误差较大，水分含量较高的样品宜采用此方法。卡尔•费休法比干燥减量法精度更高、误差小，更适用水分含量较低的样品中水分含量的测定。本文件中规定水分含量应不大于0.</w:t>
      </w:r>
      <w:r>
        <w:rPr>
          <w:rFonts w:hint="eastAsia" w:ascii="Times New Roman"/>
          <w:szCs w:val="20"/>
          <w:lang w:val="en-US" w:eastAsia="zh-CN"/>
        </w:rPr>
        <w:t>1</w:t>
      </w:r>
      <w:r>
        <w:rPr>
          <w:rFonts w:hint="eastAsia" w:ascii="Times New Roman" w:hAnsi="Times New Roman"/>
          <w:szCs w:val="20"/>
          <w:lang w:val="en-US" w:eastAsia="zh-CN"/>
        </w:rPr>
        <w:t>5</w:t>
      </w:r>
      <w:r>
        <w:rPr>
          <w:rFonts w:ascii="Times New Roman" w:hAnsi="Times New Roman"/>
          <w:szCs w:val="20"/>
        </w:rPr>
        <w:t xml:space="preserve"> %，所以</w:t>
      </w:r>
      <w:r>
        <w:rPr>
          <w:rFonts w:hint="eastAsia" w:ascii="Times New Roman"/>
          <w:szCs w:val="20"/>
          <w:lang w:val="en-US" w:eastAsia="zh-CN"/>
        </w:rPr>
        <w:t>采</w:t>
      </w:r>
      <w:r>
        <w:rPr>
          <w:rFonts w:ascii="Times New Roman" w:hAnsi="Times New Roman"/>
          <w:szCs w:val="20"/>
        </w:rPr>
        <w:t>用卡尔•费休法</w:t>
      </w:r>
      <w:r>
        <w:rPr>
          <w:rFonts w:hint="eastAsia" w:ascii="Times New Roman"/>
          <w:szCs w:val="20"/>
          <w:lang w:val="en-US" w:eastAsia="zh-CN"/>
        </w:rPr>
        <w:t>更为适宜</w:t>
      </w:r>
      <w:r>
        <w:rPr>
          <w:rFonts w:ascii="Times New Roman" w:hAnsi="Times New Roman"/>
          <w:szCs w:val="20"/>
        </w:rPr>
        <w:t>。</w:t>
      </w:r>
    </w:p>
    <w:p>
      <w:pPr>
        <w:spacing w:before="156" w:beforeLines="50" w:after="156" w:afterLines="50" w:line="400" w:lineRule="exact"/>
        <w:jc w:val="left"/>
        <w:outlineLvl w:val="1"/>
        <w:rPr>
          <w:rFonts w:ascii="黑体" w:hAnsi="黑体" w:eastAsia="黑体" w:cs="黑体"/>
          <w:szCs w:val="21"/>
        </w:rPr>
      </w:pPr>
      <w:r>
        <w:rPr>
          <w:rFonts w:hint="eastAsia" w:ascii="黑体" w:hAnsi="黑体" w:eastAsia="黑体" w:cs="黑体"/>
          <w:szCs w:val="21"/>
        </w:rPr>
        <w:t>3.</w:t>
      </w:r>
      <w:r>
        <w:rPr>
          <w:rFonts w:hint="eastAsia" w:ascii="黑体" w:hAnsi="黑体" w:eastAsia="黑体" w:cs="黑体"/>
          <w:szCs w:val="21"/>
          <w:lang w:val="en-US" w:eastAsia="zh-CN"/>
        </w:rPr>
        <w:t>3压实</w:t>
      </w:r>
      <w:r>
        <w:rPr>
          <w:rFonts w:ascii="黑体" w:hAnsi="黑体" w:eastAsia="黑体" w:cs="黑体"/>
          <w:szCs w:val="21"/>
        </w:rPr>
        <w:t>密度</w:t>
      </w:r>
    </w:p>
    <w:p>
      <w:pPr>
        <w:pStyle w:val="20"/>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exact"/>
        <w:textAlignment w:val="auto"/>
        <w:rPr>
          <w:rFonts w:hint="eastAsia" w:ascii="Times New Roman" w:hAnsi="Times New Roman" w:cs="Times New Roman"/>
        </w:rPr>
      </w:pPr>
      <w:r>
        <w:rPr>
          <w:rFonts w:hint="eastAsia" w:ascii="Times New Roman" w:hAnsi="Times New Roman" w:cs="Times New Roman"/>
          <w:lang w:val="en-US" w:eastAsia="zh-CN"/>
        </w:rPr>
        <w:t>产品的压实密度</w:t>
      </w:r>
      <w:r>
        <w:rPr>
          <w:rFonts w:hint="eastAsia" w:ascii="Times New Roman" w:hAnsi="Times New Roman" w:cs="Times New Roman"/>
        </w:rPr>
        <w:t>按</w:t>
      </w:r>
      <w:bookmarkStart w:id="5" w:name="OLE_LINK3"/>
      <w:r>
        <w:rPr>
          <w:rFonts w:hint="eastAsia" w:ascii="Times New Roman" w:hAnsi="Times New Roman" w:cs="Times New Roman"/>
        </w:rPr>
        <w:t>GB/T 24533</w:t>
      </w:r>
      <w:bookmarkEnd w:id="5"/>
      <w:r>
        <w:rPr>
          <w:rFonts w:hint="eastAsia" w:ascii="Times New Roman" w:hAnsi="Times New Roman" w:cs="Times New Roman"/>
          <w:lang w:eastAsia="zh-CN"/>
        </w:rPr>
        <w:t>《</w:t>
      </w:r>
      <w:r>
        <w:rPr>
          <w:rFonts w:hint="eastAsia" w:ascii="Times New Roman" w:hAnsi="Times New Roman" w:cs="Times New Roman"/>
        </w:rPr>
        <w:t>锂离子电池石墨类负极材料</w:t>
      </w:r>
      <w:r>
        <w:rPr>
          <w:rFonts w:hint="eastAsia" w:ascii="Times New Roman" w:hAnsi="Times New Roman" w:cs="Times New Roman"/>
          <w:lang w:eastAsia="zh-CN"/>
        </w:rPr>
        <w:t>》</w:t>
      </w:r>
      <w:r>
        <w:rPr>
          <w:rFonts w:hint="eastAsia" w:ascii="Times New Roman" w:hAnsi="Times New Roman" w:cs="Times New Roman"/>
        </w:rPr>
        <w:t>附录L的规定进行</w:t>
      </w:r>
      <w:r>
        <w:rPr>
          <w:rFonts w:hint="eastAsia" w:ascii="Times New Roman" w:hAnsi="Times New Roman" w:cs="Times New Roman"/>
          <w:lang w:val="en-US" w:eastAsia="zh-CN"/>
        </w:rPr>
        <w:t>操作</w:t>
      </w:r>
      <w:r>
        <w:rPr>
          <w:rFonts w:hint="eastAsia" w:ascii="Times New Roman" w:cs="Times New Roman"/>
          <w:lang w:val="en-US" w:eastAsia="zh-CN"/>
        </w:rPr>
        <w:t>，该方法已被普遍用于涉及离子电池上、下游领域</w:t>
      </w:r>
      <w:r>
        <w:rPr>
          <w:rFonts w:hint="eastAsia" w:ascii="Times New Roman" w:hAnsi="Times New Roman" w:cs="Times New Roman"/>
        </w:rPr>
        <w:t>。</w:t>
      </w:r>
    </w:p>
    <w:p>
      <w:pPr>
        <w:spacing w:before="156" w:beforeLines="50" w:after="156" w:afterLines="50" w:line="400" w:lineRule="exact"/>
        <w:jc w:val="left"/>
        <w:outlineLvl w:val="1"/>
        <w:rPr>
          <w:rFonts w:ascii="黑体" w:hAnsi="黑体" w:eastAsia="黑体" w:cs="黑体"/>
          <w:szCs w:val="21"/>
        </w:rPr>
      </w:pPr>
      <w:r>
        <w:rPr>
          <w:rFonts w:hint="eastAsia" w:ascii="黑体" w:hAnsi="黑体" w:eastAsia="黑体" w:cs="黑体"/>
          <w:szCs w:val="21"/>
        </w:rPr>
        <w:t>3.</w:t>
      </w:r>
      <w:r>
        <w:rPr>
          <w:rFonts w:hint="eastAsia" w:ascii="黑体" w:hAnsi="黑体" w:eastAsia="黑体" w:cs="黑体"/>
          <w:szCs w:val="21"/>
          <w:lang w:val="en-US" w:eastAsia="zh-CN"/>
        </w:rPr>
        <w:t>4</w:t>
      </w:r>
      <w:r>
        <w:rPr>
          <w:rFonts w:hint="eastAsia" w:ascii="黑体" w:hAnsi="黑体" w:eastAsia="黑体" w:cs="黑体"/>
          <w:szCs w:val="21"/>
        </w:rPr>
        <w:t xml:space="preserve"> </w:t>
      </w:r>
      <w:r>
        <w:rPr>
          <w:rFonts w:ascii="黑体" w:hAnsi="黑体" w:eastAsia="黑体" w:cs="黑体"/>
          <w:szCs w:val="21"/>
        </w:rPr>
        <w:t>粒度分布</w:t>
      </w:r>
    </w:p>
    <w:p>
      <w:pPr>
        <w:pStyle w:val="7"/>
        <w:spacing w:line="400" w:lineRule="exact"/>
        <w:ind w:firstLine="420" w:firstLineChars="200"/>
        <w:rPr>
          <w:rFonts w:ascii="Times New Roman" w:hAnsi="Times New Roman"/>
          <w:szCs w:val="20"/>
        </w:rPr>
      </w:pPr>
      <w:r>
        <w:rPr>
          <w:rFonts w:ascii="Times New Roman" w:hAnsi="Times New Roman"/>
          <w:szCs w:val="20"/>
        </w:rPr>
        <w:t>产品粒度分布的测</w:t>
      </w:r>
      <w:r>
        <w:rPr>
          <w:rFonts w:hint="eastAsia" w:ascii="Times New Roman" w:hAnsi="Times New Roman" w:eastAsia="宋体" w:cs="Times New Roman"/>
          <w:sz w:val="21"/>
          <w:szCs w:val="20"/>
          <w:lang w:val="en-US" w:eastAsia="zh-CN" w:bidi="ar-SA"/>
        </w:rPr>
        <w:t>定按</w:t>
      </w:r>
      <w:bookmarkStart w:id="6" w:name="OLE_LINK1"/>
      <w:r>
        <w:rPr>
          <w:rFonts w:hint="eastAsia" w:ascii="Times New Roman" w:hAnsi="Times New Roman" w:eastAsia="宋体" w:cs="Times New Roman"/>
          <w:sz w:val="21"/>
          <w:szCs w:val="20"/>
          <w:lang w:val="en-US" w:eastAsia="zh-CN" w:bidi="ar-SA"/>
        </w:rPr>
        <w:t>GB/T 19077</w:t>
      </w:r>
      <w:bookmarkEnd w:id="6"/>
      <w:r>
        <w:rPr>
          <w:rFonts w:hint="eastAsia" w:ascii="Times New Roman" w:hAnsi="Times New Roman" w:eastAsia="宋体" w:cs="Times New Roman"/>
          <w:sz w:val="21"/>
          <w:szCs w:val="20"/>
          <w:lang w:val="en-US" w:eastAsia="zh-CN" w:bidi="ar-SA"/>
        </w:rPr>
        <w:t>《粒度分布 激光衍射法》的规定进行</w:t>
      </w:r>
      <w:r>
        <w:rPr>
          <w:rFonts w:hint="eastAsia" w:ascii="Times New Roman" w:hAnsi="Times New Roman" w:cs="Times New Roman"/>
          <w:sz w:val="21"/>
          <w:szCs w:val="20"/>
          <w:lang w:val="en-US" w:eastAsia="zh-CN" w:bidi="ar-SA"/>
        </w:rPr>
        <w:t>，该方法广泛用于颗粒产品的粒度及粒度分布的检测，通过对本产品的实际应用考察，完全能够满足本产品标准的检测要求</w:t>
      </w:r>
      <w:r>
        <w:rPr>
          <w:rFonts w:hint="eastAsia" w:ascii="Times New Roman" w:hAnsi="Times New Roman" w:eastAsia="宋体" w:cs="Times New Roman"/>
          <w:sz w:val="21"/>
          <w:szCs w:val="20"/>
          <w:lang w:val="en-US" w:eastAsia="zh-CN" w:bidi="ar-SA"/>
        </w:rPr>
        <w:t>。</w:t>
      </w:r>
    </w:p>
    <w:p>
      <w:pPr>
        <w:spacing w:before="156" w:beforeLines="50" w:after="156" w:afterLines="50" w:line="400" w:lineRule="exact"/>
        <w:jc w:val="left"/>
        <w:outlineLvl w:val="1"/>
        <w:rPr>
          <w:rFonts w:ascii="黑体" w:hAnsi="黑体" w:eastAsia="黑体" w:cs="黑体"/>
          <w:szCs w:val="21"/>
        </w:rPr>
      </w:pPr>
      <w:r>
        <w:rPr>
          <w:rFonts w:hint="eastAsia" w:ascii="黑体" w:hAnsi="黑体" w:eastAsia="黑体" w:cs="黑体"/>
          <w:szCs w:val="21"/>
        </w:rPr>
        <w:t>3.</w:t>
      </w:r>
      <w:r>
        <w:rPr>
          <w:rFonts w:hint="eastAsia" w:ascii="黑体" w:hAnsi="黑体" w:eastAsia="黑体" w:cs="黑体"/>
          <w:szCs w:val="21"/>
          <w:lang w:val="en-US" w:eastAsia="zh-CN"/>
        </w:rPr>
        <w:t xml:space="preserve">5 </w:t>
      </w:r>
      <w:r>
        <w:rPr>
          <w:rFonts w:ascii="黑体" w:hAnsi="黑体" w:eastAsia="黑体" w:cs="黑体"/>
          <w:szCs w:val="21"/>
        </w:rPr>
        <w:t>比表面积</w:t>
      </w:r>
    </w:p>
    <w:p>
      <w:pPr>
        <w:pStyle w:val="7"/>
        <w:spacing w:line="400" w:lineRule="exact"/>
        <w:ind w:firstLine="420" w:firstLineChars="200"/>
        <w:rPr>
          <w:rFonts w:hint="default" w:ascii="Times New Roman" w:hAnsi="Times New Roman"/>
        </w:rPr>
      </w:pPr>
      <w:r>
        <w:rPr>
          <w:rFonts w:ascii="Times New Roman" w:hAnsi="Times New Roman"/>
          <w:szCs w:val="20"/>
        </w:rPr>
        <w:t>产品比表面积的测定</w:t>
      </w:r>
      <w:r>
        <w:rPr>
          <w:rFonts w:hint="default" w:ascii="Times New Roman" w:hAnsi="Times New Roman"/>
        </w:rPr>
        <w:t>按</w:t>
      </w:r>
      <w:bookmarkStart w:id="7" w:name="OLE_LINK2"/>
      <w:r>
        <w:rPr>
          <w:rFonts w:hint="default" w:ascii="Times New Roman" w:hAnsi="Times New Roman"/>
        </w:rPr>
        <w:t>GB/T 19587</w:t>
      </w:r>
      <w:bookmarkEnd w:id="7"/>
      <w:r>
        <w:rPr>
          <w:rFonts w:hint="eastAsia" w:ascii="Times New Roman" w:hAnsi="Times New Roman"/>
          <w:lang w:eastAsia="zh-CN"/>
        </w:rPr>
        <w:t>《</w:t>
      </w:r>
      <w:r>
        <w:rPr>
          <w:rFonts w:hint="default" w:ascii="Times New Roman" w:hAnsi="Times New Roman"/>
        </w:rPr>
        <w:t>气体吸附BET法测定固态物质比表面积</w:t>
      </w:r>
      <w:r>
        <w:rPr>
          <w:rFonts w:hint="eastAsia" w:ascii="Times New Roman" w:hAnsi="Times New Roman"/>
          <w:lang w:eastAsia="zh-CN"/>
        </w:rPr>
        <w:t>》</w:t>
      </w:r>
      <w:r>
        <w:rPr>
          <w:rFonts w:hint="default" w:ascii="Times New Roman" w:hAnsi="Times New Roman"/>
        </w:rPr>
        <w:t>的规定进行。</w:t>
      </w:r>
    </w:p>
    <w:p>
      <w:pPr>
        <w:pStyle w:val="7"/>
        <w:spacing w:line="400" w:lineRule="exact"/>
        <w:ind w:firstLine="420" w:firstLineChars="200"/>
        <w:rPr>
          <w:rFonts w:hint="eastAsia" w:ascii="Times New Roman" w:hAnsi="Times New Roman" w:eastAsia="宋体"/>
          <w:szCs w:val="20"/>
          <w:lang w:eastAsia="zh-CN"/>
        </w:rPr>
      </w:pPr>
      <w:r>
        <w:rPr>
          <w:rFonts w:hint="default" w:ascii="Times New Roman" w:hAnsi="Times New Roman"/>
        </w:rPr>
        <w:t>锂离子正极材料产品标准中的物理性能大</w:t>
      </w:r>
      <w:r>
        <w:rPr>
          <w:rFonts w:hint="eastAsia" w:ascii="Times New Roman" w:hAnsi="Times New Roman"/>
          <w:lang w:val="en-US" w:eastAsia="zh-CN"/>
        </w:rPr>
        <w:t>多</w:t>
      </w:r>
      <w:r>
        <w:rPr>
          <w:rFonts w:hint="default" w:ascii="Times New Roman" w:hAnsi="Times New Roman"/>
        </w:rPr>
        <w:t>以通用方法进行测试，包括GB/T 19077《粒度分析 激光衍射法》、GB/T 19587《气体吸附BET法测定固态物质比表面积》等，</w:t>
      </w:r>
      <w:r>
        <w:rPr>
          <w:rFonts w:hint="eastAsia" w:ascii="Times New Roman" w:hAnsi="Times New Roman"/>
          <w:lang w:eastAsia="zh-CN"/>
        </w:rPr>
        <w:t>本文件</w:t>
      </w:r>
      <w:r>
        <w:rPr>
          <w:rFonts w:hint="eastAsia" w:ascii="Times New Roman" w:hAnsi="Times New Roman"/>
          <w:lang w:val="en-US" w:eastAsia="zh-CN"/>
        </w:rPr>
        <w:t>参考</w:t>
      </w:r>
      <w:r>
        <w:rPr>
          <w:rFonts w:hint="default" w:ascii="Times New Roman" w:hAnsi="Times New Roman"/>
        </w:rPr>
        <w:t>离子电池正极材料产品</w:t>
      </w:r>
      <w:r>
        <w:rPr>
          <w:rFonts w:hint="eastAsia" w:ascii="Times New Roman" w:hAnsi="Times New Roman"/>
          <w:lang w:val="en-US" w:eastAsia="zh-CN"/>
        </w:rPr>
        <w:t>及本产品</w:t>
      </w:r>
      <w:r>
        <w:rPr>
          <w:rFonts w:hint="default" w:ascii="Times New Roman" w:hAnsi="Times New Roman"/>
        </w:rPr>
        <w:t>的物理</w:t>
      </w:r>
      <w:r>
        <w:rPr>
          <w:rFonts w:hint="eastAsia" w:ascii="Times New Roman" w:hAnsi="Times New Roman"/>
          <w:lang w:val="en-US" w:eastAsia="zh-CN"/>
        </w:rPr>
        <w:t>特性，</w:t>
      </w:r>
      <w:r>
        <w:rPr>
          <w:rFonts w:hint="default" w:ascii="Times New Roman" w:hAnsi="Times New Roman"/>
        </w:rPr>
        <w:t>采用GB/T 19587</w:t>
      </w:r>
      <w:r>
        <w:rPr>
          <w:rFonts w:hint="eastAsia" w:ascii="Times New Roman" w:hAnsi="Times New Roman"/>
          <w:lang w:val="en-US" w:eastAsia="zh-CN"/>
        </w:rPr>
        <w:t>规定的检测</w:t>
      </w:r>
      <w:r>
        <w:rPr>
          <w:rFonts w:hint="default" w:ascii="Times New Roman" w:hAnsi="Times New Roman"/>
        </w:rPr>
        <w:t>方法进行测试</w:t>
      </w:r>
      <w:r>
        <w:rPr>
          <w:rFonts w:hint="eastAsia" w:ascii="Times New Roman" w:hAnsi="Times New Roman" w:cs="Times New Roman"/>
          <w:sz w:val="21"/>
          <w:szCs w:val="20"/>
          <w:lang w:val="en-US" w:eastAsia="zh-CN" w:bidi="ar-SA"/>
        </w:rPr>
        <w:t>，通过对本产品的实际应用考察，完全能够满足本产品标准的检测要求</w:t>
      </w:r>
      <w:r>
        <w:rPr>
          <w:rFonts w:hint="eastAsia" w:ascii="Times New Roman" w:hAnsi="Times New Roman" w:eastAsia="宋体" w:cs="Times New Roman"/>
          <w:sz w:val="21"/>
          <w:szCs w:val="20"/>
          <w:lang w:val="en-US" w:eastAsia="zh-CN" w:bidi="ar-SA"/>
        </w:rPr>
        <w:t>。</w:t>
      </w:r>
    </w:p>
    <w:p>
      <w:pPr>
        <w:spacing w:before="156" w:beforeLines="50" w:after="156" w:afterLines="50" w:line="400" w:lineRule="exact"/>
        <w:outlineLvl w:val="1"/>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6</w:t>
      </w:r>
      <w:r>
        <w:rPr>
          <w:rFonts w:hint="eastAsia" w:ascii="黑体" w:hAnsi="黑体" w:eastAsia="黑体" w:cs="黑体"/>
          <w:szCs w:val="21"/>
        </w:rPr>
        <w:t xml:space="preserve"> </w:t>
      </w:r>
      <w:r>
        <w:rPr>
          <w:rFonts w:ascii="黑体" w:hAnsi="黑体" w:eastAsia="黑体" w:cs="黑体"/>
          <w:szCs w:val="21"/>
        </w:rPr>
        <w:t>pH值</w:t>
      </w:r>
    </w:p>
    <w:p>
      <w:pPr>
        <w:pStyle w:val="7"/>
        <w:spacing w:line="400" w:lineRule="exact"/>
        <w:ind w:firstLine="420" w:firstLineChars="200"/>
        <w:rPr>
          <w:rFonts w:ascii="Times New Roman" w:hAnsi="Times New Roman"/>
          <w:szCs w:val="20"/>
        </w:rPr>
      </w:pPr>
      <w:r>
        <w:rPr>
          <w:rFonts w:ascii="Times New Roman" w:hAnsi="Times New Roman"/>
          <w:szCs w:val="20"/>
        </w:rPr>
        <w:t>产品</w:t>
      </w:r>
      <w:r>
        <w:rPr>
          <w:rFonts w:hint="eastAsia" w:ascii="Times New Roman" w:hAnsi="Times New Roman"/>
          <w:szCs w:val="20"/>
        </w:rPr>
        <w:t>p</w:t>
      </w:r>
      <w:r>
        <w:rPr>
          <w:rFonts w:ascii="Times New Roman" w:hAnsi="Times New Roman"/>
          <w:szCs w:val="20"/>
        </w:rPr>
        <w:t>H值的测定按</w:t>
      </w:r>
      <w:r>
        <w:rPr>
          <w:rFonts w:hint="eastAsia" w:ascii="Times New Roman" w:hAnsi="Times New Roman"/>
          <w:szCs w:val="20"/>
          <w:lang w:val="en-US" w:eastAsia="zh-CN"/>
        </w:rPr>
        <w:t>6.7</w:t>
      </w:r>
      <w:r>
        <w:rPr>
          <w:rFonts w:ascii="Times New Roman" w:hAnsi="Times New Roman"/>
          <w:szCs w:val="20"/>
        </w:rPr>
        <w:t>的规定进行。</w:t>
      </w:r>
    </w:p>
    <w:p>
      <w:pPr>
        <w:pStyle w:val="7"/>
        <w:spacing w:line="400" w:lineRule="exact"/>
        <w:ind w:firstLine="420" w:firstLineChars="200"/>
        <w:rPr>
          <w:rFonts w:ascii="Times New Roman" w:hAnsi="Times New Roman"/>
          <w:szCs w:val="20"/>
        </w:rPr>
      </w:pPr>
      <w:r>
        <w:rPr>
          <w:rFonts w:hint="default" w:ascii="Times New Roman" w:hAnsi="Times New Roman"/>
          <w:highlight w:val="none"/>
        </w:rPr>
        <w:t>由于</w:t>
      </w:r>
      <w:r>
        <w:rPr>
          <w:rFonts w:hint="default" w:ascii="Times New Roman" w:hAnsi="Times New Roman"/>
          <w:highlight w:val="none"/>
          <w:lang w:eastAsia="zh-CN"/>
        </w:rPr>
        <w:t>镍锰</w:t>
      </w:r>
      <w:r>
        <w:rPr>
          <w:rFonts w:hint="eastAsia" w:ascii="Times New Roman" w:hAnsi="Times New Roman"/>
          <w:highlight w:val="none"/>
          <w:lang w:val="en-US" w:eastAsia="zh-CN"/>
        </w:rPr>
        <w:t>钛</w:t>
      </w:r>
      <w:r>
        <w:rPr>
          <w:rFonts w:hint="default" w:ascii="Times New Roman" w:hAnsi="Times New Roman"/>
          <w:highlight w:val="none"/>
          <w:lang w:eastAsia="zh-CN"/>
        </w:rPr>
        <w:t>酸钠</w:t>
      </w:r>
      <w:r>
        <w:rPr>
          <w:rFonts w:hint="default" w:ascii="Times New Roman" w:hAnsi="Times New Roman"/>
          <w:highlight w:val="none"/>
        </w:rPr>
        <w:t>在</w:t>
      </w:r>
      <w:r>
        <w:rPr>
          <w:rFonts w:hint="eastAsia" w:ascii="Times New Roman" w:hAnsi="Times New Roman"/>
          <w:highlight w:val="none"/>
          <w:lang w:val="en-US" w:eastAsia="zh-CN"/>
        </w:rPr>
        <w:t>生产过程中，会有一定量的水溶性碱性物质残留在产品中，影响产品的应用。由于产品中碱性物质可</w:t>
      </w:r>
      <w:r>
        <w:rPr>
          <w:rFonts w:hint="default" w:ascii="Times New Roman" w:hAnsi="Times New Roman"/>
          <w:highlight w:val="none"/>
        </w:rPr>
        <w:t>水中易析出，导致</w:t>
      </w:r>
      <w:r>
        <w:rPr>
          <w:rFonts w:hint="eastAsia" w:ascii="Times New Roman" w:hAnsi="Times New Roman"/>
          <w:highlight w:val="none"/>
          <w:lang w:val="en-US" w:eastAsia="zh-CN"/>
        </w:rPr>
        <w:t>产品</w:t>
      </w:r>
      <w:r>
        <w:rPr>
          <w:rFonts w:hint="default" w:ascii="Times New Roman" w:hAnsi="Times New Roman"/>
          <w:highlight w:val="none"/>
        </w:rPr>
        <w:t>pH值偏高，</w:t>
      </w:r>
      <w:r>
        <w:rPr>
          <w:rFonts w:hint="default" w:ascii="Times New Roman" w:hAnsi="Times New Roman"/>
        </w:rPr>
        <w:t>因此</w:t>
      </w:r>
      <w:r>
        <w:rPr>
          <w:rFonts w:hint="eastAsia" w:ascii="Times New Roman" w:hAnsi="Times New Roman"/>
          <w:lang w:val="en-US" w:eastAsia="zh-CN"/>
        </w:rPr>
        <w:t>采用恰当的方法测定产品中pH值是考察产品品质的重要手段，</w:t>
      </w:r>
      <w:r>
        <w:rPr>
          <w:rFonts w:hint="default" w:ascii="Times New Roman" w:hAnsi="Times New Roman"/>
        </w:rPr>
        <w:t>本文件</w:t>
      </w:r>
      <w:r>
        <w:rPr>
          <w:rFonts w:hint="eastAsia"/>
          <w:lang w:val="en-US" w:eastAsia="zh-CN"/>
        </w:rPr>
        <w:t>结合产品特性，以</w:t>
      </w:r>
      <w:r>
        <w:rPr>
          <w:rFonts w:hint="eastAsia"/>
        </w:rPr>
        <w:t>水</w:t>
      </w:r>
      <w:r>
        <w:rPr>
          <w:rFonts w:hint="eastAsia"/>
          <w:lang w:val="en-US" w:eastAsia="zh-CN"/>
        </w:rPr>
        <w:t>作为溶解介质，通过pH计测定产品的pH值，间接地反映出产品中碱性物质的存在情况。通过对样品实际检测，其结果能够达到期望的效果</w:t>
      </w:r>
      <w:r>
        <w:rPr>
          <w:rFonts w:hint="eastAsia" w:ascii="Times New Roman" w:hAnsi="Times New Roman"/>
          <w:szCs w:val="20"/>
        </w:rPr>
        <w:t>。</w:t>
      </w:r>
    </w:p>
    <w:p>
      <w:pPr>
        <w:spacing w:before="156" w:beforeLines="50" w:after="156" w:afterLines="50" w:line="400" w:lineRule="exact"/>
        <w:jc w:val="left"/>
        <w:outlineLvl w:val="1"/>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7</w:t>
      </w:r>
      <w:r>
        <w:rPr>
          <w:rFonts w:hint="eastAsia" w:ascii="黑体" w:hAnsi="黑体" w:eastAsia="黑体" w:cs="黑体"/>
          <w:szCs w:val="21"/>
        </w:rPr>
        <w:t xml:space="preserve">  电化学性能</w:t>
      </w:r>
    </w:p>
    <w:p>
      <w:pPr>
        <w:widowControl/>
        <w:autoSpaceDE w:val="0"/>
        <w:autoSpaceDN w:val="0"/>
        <w:spacing w:line="400" w:lineRule="exact"/>
        <w:ind w:firstLine="420" w:firstLineChars="200"/>
        <w:rPr>
          <w:kern w:val="0"/>
        </w:rPr>
      </w:pPr>
      <w:r>
        <w:rPr>
          <w:rFonts w:hint="eastAsia"/>
          <w:kern w:val="0"/>
        </w:rPr>
        <w:t>产品首次放电比容量、首次充放电效率</w:t>
      </w:r>
      <w:r>
        <w:rPr>
          <w:rFonts w:hint="eastAsia"/>
          <w:kern w:val="0"/>
          <w:lang w:val="en-US" w:eastAsia="zh-CN"/>
        </w:rPr>
        <w:t>按6.8</w:t>
      </w:r>
      <w:r>
        <w:rPr>
          <w:rFonts w:hint="eastAsia"/>
          <w:kern w:val="0"/>
        </w:rPr>
        <w:t>的规定进行的测定。</w:t>
      </w:r>
    </w:p>
    <w:p>
      <w:pPr>
        <w:widowControl/>
        <w:autoSpaceDE w:val="0"/>
        <w:autoSpaceDN w:val="0"/>
        <w:spacing w:line="400" w:lineRule="exact"/>
        <w:ind w:firstLine="420" w:firstLineChars="200"/>
        <w:rPr>
          <w:kern w:val="0"/>
          <w:highlight w:val="none"/>
        </w:rPr>
      </w:pPr>
      <w:r>
        <w:rPr>
          <w:rFonts w:hint="eastAsia" w:cs="宋体"/>
          <w:kern w:val="0"/>
          <w:lang w:bidi="ar"/>
        </w:rPr>
        <w:t>钠离子电池和锂离子电池电化学性能测试流程基本一致，都是制浆、涂片、干燥、电池装配和采用电池测试系统测试，只是电池装配过程中材料使用和电化学测试参数存在少许差异，因此</w:t>
      </w:r>
      <w:r>
        <w:rPr>
          <w:rFonts w:hint="eastAsia" w:cs="宋体"/>
          <w:kern w:val="0"/>
          <w:lang w:eastAsia="zh-CN" w:bidi="ar"/>
        </w:rPr>
        <w:t>本文件</w:t>
      </w:r>
      <w:r>
        <w:rPr>
          <w:rFonts w:hint="eastAsia" w:cs="宋体"/>
          <w:kern w:val="0"/>
          <w:lang w:bidi="ar"/>
        </w:rPr>
        <w:t>的电化学性能测试整体参照</w:t>
      </w:r>
      <w:r>
        <w:rPr>
          <w:kern w:val="0"/>
          <w:lang w:bidi="ar"/>
        </w:rPr>
        <w:t>GB/T 23365</w:t>
      </w:r>
      <w:r>
        <w:rPr>
          <w:rFonts w:hint="eastAsia"/>
          <w:kern w:val="0"/>
          <w:lang w:bidi="ar"/>
        </w:rPr>
        <w:t>《钴酸锂电化学性能测试方法 首次放电比容量及首次充放电效率测试方法》和 GB/T 23366《钴酸锂电化学性能测试方法 放电平台容量比率及循环寿命测试方法》进行改写作。但是钠离子电池扣式电池对电极需要改成钠片，电解液也需要同步调整为六氟磷酸钠；由于钠离子半径大于锂离子，隔膜需要采用孔更大、离子传导率更好的玻璃纤维隔膜；电压范围</w:t>
      </w:r>
      <w:r>
        <w:rPr>
          <w:rFonts w:hint="eastAsia"/>
          <w:kern w:val="0"/>
          <w:lang w:val="en-US" w:eastAsia="zh-CN" w:bidi="ar"/>
        </w:rPr>
        <w:t>根据测定</w:t>
      </w:r>
      <w:r>
        <w:rPr>
          <w:rFonts w:hint="eastAsia"/>
          <w:kern w:val="0"/>
          <w:lang w:bidi="ar"/>
        </w:rPr>
        <w:t>需求</w:t>
      </w:r>
      <w:r>
        <w:rPr>
          <w:rFonts w:hint="eastAsia"/>
          <w:kern w:val="0"/>
          <w:lang w:val="en-US" w:eastAsia="zh-CN" w:bidi="ar"/>
        </w:rPr>
        <w:t>确定</w:t>
      </w:r>
      <w:r>
        <w:rPr>
          <w:rFonts w:hint="eastAsia"/>
          <w:kern w:val="0"/>
          <w:highlight w:val="none"/>
          <w:lang w:bidi="ar"/>
        </w:rPr>
        <w:t>为2~4V。</w:t>
      </w:r>
    </w:p>
    <w:p>
      <w:pPr>
        <w:spacing w:before="156" w:beforeLines="50" w:after="156" w:afterLines="50" w:line="400" w:lineRule="exact"/>
        <w:outlineLvl w:val="1"/>
        <w:rPr>
          <w:rFonts w:ascii="黑体" w:hAnsi="黑体" w:eastAsia="黑体" w:cs="黑体"/>
          <w:szCs w:val="21"/>
          <w:lang w:val="en-GB"/>
        </w:rPr>
      </w:pPr>
      <w:r>
        <w:rPr>
          <w:rFonts w:hint="eastAsia" w:ascii="黑体" w:hAnsi="黑体" w:eastAsia="黑体" w:cs="黑体"/>
          <w:szCs w:val="21"/>
          <w:lang w:val="en-US" w:eastAsia="zh-CN"/>
        </w:rPr>
        <w:t>四</w:t>
      </w:r>
      <w:r>
        <w:rPr>
          <w:rFonts w:hint="eastAsia" w:ascii="黑体" w:hAnsi="黑体" w:eastAsia="黑体" w:cs="黑体"/>
          <w:szCs w:val="21"/>
          <w:lang w:val="en-GB"/>
        </w:rPr>
        <w:t>、明确标准中涉及专利的情况</w:t>
      </w:r>
    </w:p>
    <w:p>
      <w:pPr>
        <w:spacing w:line="400" w:lineRule="exact"/>
        <w:ind w:firstLine="424" w:firstLineChars="202"/>
        <w:rPr>
          <w:szCs w:val="21"/>
        </w:rPr>
      </w:pPr>
      <w:r>
        <w:rPr>
          <w:rFonts w:hint="eastAsia" w:ascii="宋体" w:hAnsi="宋体"/>
        </w:rPr>
        <w:t>本</w:t>
      </w:r>
      <w:r>
        <w:rPr>
          <w:rFonts w:hint="eastAsia"/>
          <w:szCs w:val="21"/>
        </w:rPr>
        <w:t>文件</w:t>
      </w:r>
      <w:r>
        <w:rPr>
          <w:rFonts w:hint="eastAsia" w:ascii="宋体" w:hAnsi="宋体"/>
        </w:rPr>
        <w:t>不涉及专利问题。</w:t>
      </w:r>
    </w:p>
    <w:p>
      <w:pPr>
        <w:spacing w:before="156" w:beforeLines="50" w:after="156" w:afterLines="50" w:line="400" w:lineRule="exact"/>
        <w:outlineLvl w:val="1"/>
        <w:rPr>
          <w:rFonts w:ascii="黑体" w:hAnsi="黑体" w:eastAsia="黑体" w:cs="黑体"/>
          <w:szCs w:val="21"/>
          <w:lang w:val="en-GB"/>
        </w:rPr>
      </w:pPr>
      <w:r>
        <w:rPr>
          <w:rFonts w:hint="eastAsia" w:ascii="黑体" w:hAnsi="黑体" w:eastAsia="黑体" w:cs="黑体"/>
          <w:szCs w:val="21"/>
          <w:lang w:val="en-US" w:eastAsia="zh-CN"/>
        </w:rPr>
        <w:t>五</w:t>
      </w:r>
      <w:r>
        <w:rPr>
          <w:rFonts w:hint="eastAsia" w:ascii="黑体" w:hAnsi="黑体" w:eastAsia="黑体" w:cs="黑体"/>
          <w:szCs w:val="21"/>
          <w:lang w:val="en-GB"/>
        </w:rPr>
        <w:t>、采用国际标准和国外先进标准的情况，与国际、国内同类标准水平的对比情况</w:t>
      </w:r>
    </w:p>
    <w:p>
      <w:pPr>
        <w:spacing w:line="400" w:lineRule="exact"/>
        <w:ind w:firstLine="420" w:firstLineChars="200"/>
        <w:rPr>
          <w:rFonts w:hint="eastAsia"/>
          <w:szCs w:val="21"/>
        </w:rPr>
      </w:pPr>
      <w:r>
        <w:rPr>
          <w:szCs w:val="21"/>
        </w:rPr>
        <w:t>本</w:t>
      </w:r>
      <w:r>
        <w:rPr>
          <w:rFonts w:hint="eastAsia"/>
          <w:szCs w:val="21"/>
        </w:rPr>
        <w:t>文件</w:t>
      </w:r>
      <w:r>
        <w:rPr>
          <w:szCs w:val="21"/>
        </w:rPr>
        <w:t>在制定过程中</w:t>
      </w:r>
      <w:r>
        <w:rPr>
          <w:rFonts w:hint="eastAsia"/>
          <w:szCs w:val="21"/>
          <w:lang w:val="en-US" w:eastAsia="zh-CN"/>
        </w:rPr>
        <w:t>经多渠道检索，均</w:t>
      </w:r>
      <w:r>
        <w:rPr>
          <w:szCs w:val="21"/>
        </w:rPr>
        <w:t>未</w:t>
      </w:r>
      <w:r>
        <w:rPr>
          <w:rFonts w:hint="eastAsia"/>
          <w:szCs w:val="21"/>
          <w:lang w:val="en-US" w:eastAsia="zh-CN"/>
        </w:rPr>
        <w:t>查到</w:t>
      </w:r>
      <w:r>
        <w:rPr>
          <w:szCs w:val="21"/>
        </w:rPr>
        <w:t>到国际</w:t>
      </w:r>
      <w:r>
        <w:rPr>
          <w:rFonts w:hint="eastAsia"/>
          <w:szCs w:val="21"/>
          <w:lang w:val="en-US" w:eastAsia="zh-CN"/>
        </w:rPr>
        <w:t>和国外</w:t>
      </w:r>
      <w:r>
        <w:rPr>
          <w:szCs w:val="21"/>
        </w:rPr>
        <w:t>同类</w:t>
      </w:r>
      <w:r>
        <w:rPr>
          <w:rFonts w:hint="eastAsia"/>
          <w:szCs w:val="21"/>
          <w:lang w:val="en-US" w:eastAsia="zh-CN"/>
        </w:rPr>
        <w:t>产品</w:t>
      </w:r>
      <w:r>
        <w:rPr>
          <w:szCs w:val="21"/>
        </w:rPr>
        <w:t>标准。</w:t>
      </w:r>
    </w:p>
    <w:p>
      <w:pPr>
        <w:pStyle w:val="20"/>
        <w:tabs>
          <w:tab w:val="center" w:pos="4201"/>
          <w:tab w:val="right" w:leader="dot" w:pos="9298"/>
        </w:tabs>
        <w:spacing w:line="400" w:lineRule="exact"/>
        <w:ind w:firstLine="420"/>
        <w:rPr>
          <w:rFonts w:ascii="Times New Roman"/>
          <w:szCs w:val="21"/>
        </w:rPr>
      </w:pPr>
      <w:r>
        <w:rPr>
          <w:rFonts w:ascii="Times New Roman"/>
          <w:szCs w:val="21"/>
        </w:rPr>
        <w:t>本</w:t>
      </w:r>
      <w:r>
        <w:rPr>
          <w:rFonts w:hint="eastAsia" w:ascii="Times New Roman"/>
          <w:szCs w:val="21"/>
        </w:rPr>
        <w:t>文件</w:t>
      </w:r>
      <w:r>
        <w:rPr>
          <w:rFonts w:hint="eastAsia" w:ascii="Times New Roman"/>
          <w:szCs w:val="21"/>
          <w:lang w:val="en-US" w:eastAsia="zh-CN"/>
        </w:rPr>
        <w:t>主要</w:t>
      </w:r>
      <w:r>
        <w:rPr>
          <w:rFonts w:ascii="Times New Roman"/>
          <w:szCs w:val="21"/>
        </w:rPr>
        <w:t>以</w:t>
      </w:r>
      <w:r>
        <w:rPr>
          <w:rFonts w:hint="eastAsia"/>
          <w:szCs w:val="28"/>
        </w:rPr>
        <w:t>钠离子电池生</w:t>
      </w:r>
      <w:r>
        <w:rPr>
          <w:rFonts w:ascii="Times New Roman"/>
          <w:szCs w:val="28"/>
        </w:rPr>
        <w:t>产企业</w:t>
      </w:r>
      <w:r>
        <w:rPr>
          <w:rFonts w:ascii="Times New Roman"/>
          <w:szCs w:val="21"/>
        </w:rPr>
        <w:t>实际需求为依据，</w:t>
      </w:r>
      <w:r>
        <w:rPr>
          <w:rFonts w:hint="eastAsia" w:ascii="Times New Roman"/>
          <w:szCs w:val="21"/>
          <w:lang w:val="en-US" w:eastAsia="zh-CN"/>
        </w:rPr>
        <w:t>结合目前国内生产企业的实际研发、生产情况而</w:t>
      </w:r>
      <w:r>
        <w:rPr>
          <w:rFonts w:hint="eastAsia"/>
          <w:szCs w:val="21"/>
        </w:rPr>
        <w:t>制定</w:t>
      </w:r>
      <w:r>
        <w:rPr>
          <w:rFonts w:hint="eastAsia" w:ascii="Times New Roman"/>
          <w:szCs w:val="21"/>
          <w:lang w:val="en-US" w:eastAsia="zh-CN"/>
        </w:rPr>
        <w:t>的，</w:t>
      </w:r>
      <w:r>
        <w:rPr>
          <w:rFonts w:ascii="Times New Roman"/>
          <w:szCs w:val="21"/>
        </w:rPr>
        <w:t>标准客观反应了目前</w:t>
      </w:r>
      <w:r>
        <w:rPr>
          <w:rFonts w:hint="eastAsia"/>
          <w:szCs w:val="21"/>
          <w:lang w:eastAsia="zh-CN"/>
        </w:rPr>
        <w:t>镍锰</w:t>
      </w:r>
      <w:r>
        <w:rPr>
          <w:rFonts w:hint="eastAsia"/>
          <w:szCs w:val="21"/>
          <w:lang w:val="en-US" w:eastAsia="zh-CN"/>
        </w:rPr>
        <w:t>钛</w:t>
      </w:r>
      <w:r>
        <w:rPr>
          <w:rFonts w:hint="eastAsia"/>
          <w:szCs w:val="21"/>
          <w:lang w:eastAsia="zh-CN"/>
        </w:rPr>
        <w:t>酸钠</w:t>
      </w:r>
      <w:r>
        <w:rPr>
          <w:rFonts w:hint="eastAsia"/>
          <w:szCs w:val="21"/>
          <w:lang w:val="en-US" w:eastAsia="zh-CN"/>
        </w:rPr>
        <w:t>生产、</w:t>
      </w:r>
      <w:r>
        <w:rPr>
          <w:rFonts w:ascii="Times New Roman"/>
          <w:szCs w:val="21"/>
        </w:rPr>
        <w:t>使用现状，具有适用性、准确性、指导性和先进性。</w:t>
      </w:r>
    </w:p>
    <w:p>
      <w:pPr>
        <w:pStyle w:val="20"/>
        <w:tabs>
          <w:tab w:val="center" w:pos="4201"/>
          <w:tab w:val="right" w:leader="dot" w:pos="9298"/>
        </w:tabs>
        <w:spacing w:line="400" w:lineRule="exact"/>
        <w:ind w:firstLine="420"/>
        <w:rPr>
          <w:rFonts w:ascii="Times New Roman"/>
          <w:szCs w:val="21"/>
        </w:rPr>
      </w:pPr>
      <w:r>
        <w:rPr>
          <w:rFonts w:ascii="Times New Roman"/>
          <w:szCs w:val="21"/>
        </w:rPr>
        <w:t>本</w:t>
      </w:r>
      <w:r>
        <w:rPr>
          <w:rFonts w:hint="eastAsia" w:ascii="Times New Roman"/>
          <w:szCs w:val="21"/>
        </w:rPr>
        <w:t>文件</w:t>
      </w:r>
      <w:r>
        <w:rPr>
          <w:rFonts w:ascii="Times New Roman"/>
          <w:szCs w:val="21"/>
        </w:rPr>
        <w:t>填补了国内外相关标准的空白。</w:t>
      </w:r>
    </w:p>
    <w:p>
      <w:pPr>
        <w:spacing w:before="156" w:beforeLines="50" w:after="156" w:afterLines="50" w:line="400" w:lineRule="exact"/>
        <w:outlineLvl w:val="0"/>
        <w:rPr>
          <w:rFonts w:ascii="黑体" w:hAnsi="黑体" w:eastAsia="黑体" w:cs="黑体"/>
          <w:szCs w:val="21"/>
        </w:rPr>
      </w:pPr>
      <w:r>
        <w:rPr>
          <w:rFonts w:hint="eastAsia" w:ascii="黑体" w:hAnsi="黑体" w:eastAsia="黑体" w:cs="黑体"/>
          <w:szCs w:val="21"/>
          <w:lang w:val="en-US" w:eastAsia="zh-CN"/>
        </w:rPr>
        <w:t>六</w:t>
      </w:r>
      <w:r>
        <w:rPr>
          <w:rFonts w:hint="eastAsia" w:ascii="黑体" w:hAnsi="黑体" w:eastAsia="黑体" w:cs="黑体"/>
          <w:szCs w:val="21"/>
        </w:rPr>
        <w:t>、与有关的现行法律、法规和强制性国家标准的关系</w:t>
      </w:r>
    </w:p>
    <w:p>
      <w:pPr>
        <w:spacing w:line="400" w:lineRule="exact"/>
        <w:ind w:firstLine="420" w:firstLineChars="200"/>
        <w:rPr>
          <w:szCs w:val="21"/>
        </w:rPr>
      </w:pPr>
      <w:r>
        <w:rPr>
          <w:szCs w:val="21"/>
        </w:rPr>
        <w:t>本</w:t>
      </w:r>
      <w:r>
        <w:rPr>
          <w:rFonts w:hint="eastAsia"/>
          <w:szCs w:val="21"/>
        </w:rPr>
        <w:t>文件</w:t>
      </w:r>
      <w:r>
        <w:rPr>
          <w:szCs w:val="21"/>
        </w:rPr>
        <w:t>不存在与相关法律、法规、规章相抵触之处，也不与其它标准相冲突。</w:t>
      </w:r>
    </w:p>
    <w:p>
      <w:pPr>
        <w:spacing w:before="156" w:beforeLines="50" w:after="156" w:afterLines="50" w:line="400" w:lineRule="exact"/>
        <w:outlineLvl w:val="0"/>
        <w:rPr>
          <w:rFonts w:ascii="黑体" w:hAnsi="黑体" w:eastAsia="黑体" w:cs="黑体"/>
          <w:szCs w:val="21"/>
        </w:rPr>
      </w:pPr>
      <w:r>
        <w:rPr>
          <w:rFonts w:hint="eastAsia" w:ascii="黑体" w:hAnsi="黑体" w:eastAsia="黑体" w:cs="黑体"/>
          <w:szCs w:val="21"/>
          <w:lang w:val="en-US" w:eastAsia="zh-CN"/>
        </w:rPr>
        <w:t>七</w:t>
      </w:r>
      <w:r>
        <w:rPr>
          <w:rFonts w:hint="eastAsia" w:ascii="黑体" w:hAnsi="黑体" w:eastAsia="黑体" w:cs="黑体"/>
          <w:szCs w:val="21"/>
        </w:rPr>
        <w:t>、重大分歧意见的处理经过和依据</w:t>
      </w:r>
    </w:p>
    <w:p>
      <w:pPr>
        <w:spacing w:line="400" w:lineRule="exact"/>
        <w:ind w:firstLine="420" w:firstLineChars="200"/>
        <w:rPr>
          <w:szCs w:val="21"/>
        </w:rPr>
      </w:pPr>
      <w:r>
        <w:rPr>
          <w:szCs w:val="21"/>
        </w:rPr>
        <w:t>无</w:t>
      </w:r>
      <w:r>
        <w:rPr>
          <w:rFonts w:hint="eastAsia"/>
          <w:szCs w:val="21"/>
        </w:rPr>
        <w:t>。</w:t>
      </w:r>
    </w:p>
    <w:p>
      <w:pPr>
        <w:spacing w:before="156" w:beforeLines="50" w:after="156" w:afterLines="50" w:line="400" w:lineRule="exact"/>
        <w:outlineLvl w:val="0"/>
        <w:rPr>
          <w:rFonts w:ascii="黑体" w:hAnsi="黑体" w:eastAsia="黑体" w:cs="黑体"/>
          <w:szCs w:val="21"/>
        </w:rPr>
      </w:pPr>
      <w:r>
        <w:rPr>
          <w:rFonts w:hint="eastAsia" w:ascii="黑体" w:hAnsi="黑体" w:eastAsia="黑体" w:cs="黑体"/>
          <w:szCs w:val="21"/>
          <w:lang w:val="en-US" w:eastAsia="zh-CN"/>
        </w:rPr>
        <w:t>八</w:t>
      </w:r>
      <w:r>
        <w:rPr>
          <w:rFonts w:hint="eastAsia" w:ascii="黑体" w:hAnsi="黑体" w:eastAsia="黑体" w:cs="黑体"/>
          <w:szCs w:val="21"/>
        </w:rPr>
        <w:t>、标准作为强制性标准或推荐性标准的建议</w:t>
      </w:r>
    </w:p>
    <w:p>
      <w:pPr>
        <w:spacing w:line="400" w:lineRule="exact"/>
        <w:ind w:firstLine="420" w:firstLineChars="200"/>
        <w:rPr>
          <w:szCs w:val="21"/>
        </w:rPr>
      </w:pPr>
      <w:r>
        <w:rPr>
          <w:szCs w:val="21"/>
        </w:rPr>
        <w:t>建议</w:t>
      </w:r>
      <w:r>
        <w:rPr>
          <w:rFonts w:hint="eastAsia"/>
          <w:szCs w:val="21"/>
          <w:lang w:val="en-US" w:eastAsia="zh-CN"/>
        </w:rPr>
        <w:t>行业</w:t>
      </w:r>
      <w:r>
        <w:rPr>
          <w:szCs w:val="21"/>
        </w:rPr>
        <w:t>标准《</w:t>
      </w:r>
      <w:r>
        <w:rPr>
          <w:rFonts w:hint="eastAsia"/>
          <w:szCs w:val="21"/>
        </w:rPr>
        <w:t>钠离子电池用</w:t>
      </w:r>
      <w:r>
        <w:rPr>
          <w:rFonts w:hint="eastAsia"/>
          <w:szCs w:val="21"/>
          <w:lang w:eastAsia="zh-CN"/>
        </w:rPr>
        <w:t>镍锰</w:t>
      </w:r>
      <w:r>
        <w:rPr>
          <w:rFonts w:hint="eastAsia"/>
          <w:szCs w:val="21"/>
          <w:lang w:val="en-US" w:eastAsia="zh-CN"/>
        </w:rPr>
        <w:t>钛</w:t>
      </w:r>
      <w:r>
        <w:rPr>
          <w:rFonts w:hint="eastAsia"/>
          <w:szCs w:val="21"/>
          <w:lang w:eastAsia="zh-CN"/>
        </w:rPr>
        <w:t>酸钠</w:t>
      </w:r>
      <w:r>
        <w:rPr>
          <w:szCs w:val="21"/>
        </w:rPr>
        <w:t>》作为推荐性标准颁布实施。</w:t>
      </w:r>
    </w:p>
    <w:p>
      <w:pPr>
        <w:spacing w:before="156" w:beforeLines="50" w:after="156" w:afterLines="50" w:line="400" w:lineRule="exact"/>
        <w:outlineLvl w:val="0"/>
        <w:rPr>
          <w:rFonts w:ascii="黑体" w:hAnsi="黑体" w:eastAsia="黑体" w:cs="黑体"/>
          <w:szCs w:val="21"/>
        </w:rPr>
      </w:pPr>
      <w:r>
        <w:rPr>
          <w:rFonts w:hint="eastAsia" w:ascii="黑体" w:hAnsi="黑体" w:eastAsia="黑体" w:cs="黑体"/>
          <w:szCs w:val="21"/>
          <w:lang w:val="en-US" w:eastAsia="zh-CN"/>
        </w:rPr>
        <w:t>九</w:t>
      </w:r>
      <w:r>
        <w:rPr>
          <w:rFonts w:hint="eastAsia" w:ascii="黑体" w:hAnsi="黑体" w:eastAsia="黑体" w:cs="黑体"/>
          <w:szCs w:val="21"/>
        </w:rPr>
        <w:t>、贯彻标准的要求和措施建议</w:t>
      </w:r>
    </w:p>
    <w:p>
      <w:pPr>
        <w:spacing w:line="400" w:lineRule="exact"/>
        <w:ind w:firstLine="420" w:firstLineChars="200"/>
        <w:rPr>
          <w:szCs w:val="21"/>
        </w:rPr>
      </w:pPr>
      <w:r>
        <w:rPr>
          <w:szCs w:val="21"/>
        </w:rPr>
        <w:t>建议本</w:t>
      </w:r>
      <w:r>
        <w:rPr>
          <w:rFonts w:hint="eastAsia"/>
          <w:szCs w:val="21"/>
        </w:rPr>
        <w:t>文件</w:t>
      </w:r>
      <w:r>
        <w:rPr>
          <w:szCs w:val="21"/>
        </w:rPr>
        <w:t>在批准发布</w:t>
      </w:r>
      <w:r>
        <w:rPr>
          <w:rFonts w:hint="eastAsia"/>
          <w:szCs w:val="21"/>
        </w:rPr>
        <w:t>即</w:t>
      </w:r>
      <w:r>
        <w:rPr>
          <w:szCs w:val="21"/>
        </w:rPr>
        <w:t>实施。</w:t>
      </w:r>
    </w:p>
    <w:p>
      <w:pPr>
        <w:spacing w:before="156" w:beforeLines="50" w:after="156" w:afterLines="50" w:line="400" w:lineRule="exact"/>
        <w:outlineLvl w:val="0"/>
        <w:rPr>
          <w:rFonts w:ascii="黑体" w:hAnsi="黑体" w:eastAsia="黑体" w:cs="黑体"/>
          <w:szCs w:val="21"/>
        </w:rPr>
      </w:pPr>
      <w:r>
        <w:rPr>
          <w:rFonts w:hint="eastAsia" w:ascii="黑体" w:hAnsi="黑体" w:eastAsia="黑体" w:cs="黑体"/>
          <w:szCs w:val="21"/>
        </w:rPr>
        <w:t>十、废止现行有关标准的建议</w:t>
      </w:r>
    </w:p>
    <w:p>
      <w:pPr>
        <w:spacing w:line="400" w:lineRule="exact"/>
        <w:ind w:firstLine="420" w:firstLineChars="200"/>
        <w:rPr>
          <w:szCs w:val="21"/>
        </w:rPr>
      </w:pPr>
      <w:r>
        <w:rPr>
          <w:szCs w:val="21"/>
        </w:rPr>
        <w:t>无。</w:t>
      </w:r>
    </w:p>
    <w:p>
      <w:pPr>
        <w:numPr>
          <w:ilvl w:val="0"/>
          <w:numId w:val="0"/>
        </w:numPr>
        <w:spacing w:before="156" w:beforeLines="50" w:after="156" w:afterLines="50" w:line="360" w:lineRule="auto"/>
        <w:outlineLvl w:val="0"/>
        <w:rPr>
          <w:rFonts w:ascii="黑体" w:hAnsi="黑体" w:eastAsia="黑体" w:cs="黑体"/>
          <w:szCs w:val="21"/>
        </w:rPr>
      </w:pPr>
      <w:r>
        <w:rPr>
          <w:rFonts w:hint="eastAsia" w:ascii="黑体" w:hAnsi="黑体" w:eastAsia="黑体" w:cs="黑体"/>
          <w:kern w:val="2"/>
          <w:sz w:val="21"/>
          <w:szCs w:val="21"/>
          <w:lang w:val="en-US" w:eastAsia="zh-CN" w:bidi="ar-SA"/>
        </w:rPr>
        <w:t>十一、</w:t>
      </w:r>
      <w:r>
        <w:rPr>
          <w:rFonts w:hint="eastAsia" w:ascii="黑体" w:hAnsi="黑体" w:eastAsia="黑体" w:cs="黑体"/>
          <w:szCs w:val="21"/>
        </w:rPr>
        <w:t>其他应予说明的事项</w:t>
      </w:r>
    </w:p>
    <w:p>
      <w:pPr>
        <w:pStyle w:val="7"/>
        <w:ind w:firstLine="420" w:firstLineChars="200"/>
        <w:rPr>
          <w:rFonts w:hint="eastAsia" w:ascii="Times New Roman" w:hAnsi="Times New Roman"/>
          <w:szCs w:val="21"/>
        </w:rPr>
      </w:pPr>
      <w:r>
        <w:rPr>
          <w:szCs w:val="21"/>
        </w:rPr>
        <w:t>无。</w:t>
      </w:r>
    </w:p>
    <w:p>
      <w:pPr>
        <w:spacing w:line="360" w:lineRule="auto"/>
        <w:ind w:left="0" w:leftChars="0" w:firstLine="4620" w:firstLineChars="2200"/>
        <w:jc w:val="left"/>
        <w:rPr>
          <w:szCs w:val="21"/>
        </w:rPr>
      </w:pPr>
      <w:r>
        <w:rPr>
          <w:rFonts w:hint="eastAsia"/>
          <w:szCs w:val="21"/>
          <w:lang w:val="en-US" w:eastAsia="zh-CN"/>
        </w:rPr>
        <w:t xml:space="preserve">  </w:t>
      </w:r>
      <w:r>
        <w:rPr>
          <w:rFonts w:hint="eastAsia"/>
          <w:szCs w:val="21"/>
        </w:rPr>
        <w:t>《钠离子电池用</w:t>
      </w:r>
      <w:r>
        <w:rPr>
          <w:rFonts w:hint="eastAsia"/>
          <w:szCs w:val="21"/>
          <w:lang w:eastAsia="zh-CN"/>
        </w:rPr>
        <w:t>镍锰</w:t>
      </w:r>
      <w:r>
        <w:rPr>
          <w:rFonts w:hint="eastAsia"/>
          <w:szCs w:val="21"/>
          <w:lang w:val="en-US" w:eastAsia="zh-CN"/>
        </w:rPr>
        <w:t>钛</w:t>
      </w:r>
      <w:r>
        <w:rPr>
          <w:rFonts w:hint="eastAsia"/>
          <w:szCs w:val="21"/>
          <w:lang w:eastAsia="zh-CN"/>
        </w:rPr>
        <w:t>酸钠</w:t>
      </w:r>
      <w:r>
        <w:rPr>
          <w:rFonts w:hint="eastAsia"/>
          <w:szCs w:val="21"/>
        </w:rPr>
        <w:t>》</w:t>
      </w:r>
      <w:r>
        <w:rPr>
          <w:szCs w:val="21"/>
        </w:rPr>
        <w:t>标准编制组</w:t>
      </w:r>
    </w:p>
    <w:p>
      <w:pPr>
        <w:ind w:left="6098" w:leftChars="2904" w:firstLine="0" w:firstLineChars="0"/>
        <w:jc w:val="left"/>
        <w:rPr>
          <w:szCs w:val="21"/>
        </w:rPr>
      </w:pPr>
      <w:r>
        <w:rPr>
          <w:szCs w:val="21"/>
        </w:rPr>
        <w:t>202</w:t>
      </w:r>
      <w:r>
        <w:rPr>
          <w:rFonts w:hint="eastAsia"/>
          <w:szCs w:val="21"/>
          <w:lang w:val="en-US" w:eastAsia="zh-CN"/>
        </w:rPr>
        <w:t>5</w:t>
      </w:r>
      <w:r>
        <w:rPr>
          <w:szCs w:val="21"/>
        </w:rPr>
        <w:t>年</w:t>
      </w:r>
      <w:r>
        <w:rPr>
          <w:rFonts w:hint="eastAsia"/>
          <w:szCs w:val="21"/>
          <w:lang w:val="en-US" w:eastAsia="zh-CN"/>
        </w:rPr>
        <w:t>3</w:t>
      </w:r>
      <w:r>
        <w:rPr>
          <w:szCs w:val="21"/>
        </w:rPr>
        <w:t>月</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sectPr>
          <w:headerReference r:id="rId4" w:type="default"/>
          <w:footerReference r:id="rId5" w:type="default"/>
          <w:pgSz w:w="11906" w:h="16838"/>
          <w:pgMar w:top="1440" w:right="1080" w:bottom="1440" w:left="1080"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rPr>
          <w:rFonts w:hint="eastAsia"/>
          <w:szCs w:val="21"/>
          <w:lang w:val="en-US" w:eastAsia="zh-CN"/>
        </w:rPr>
      </w:pPr>
      <w:r>
        <w:rPr>
          <w:rFonts w:hint="eastAsia"/>
          <w:szCs w:val="21"/>
          <w:lang w:val="en-US" w:eastAsia="zh-CN"/>
        </w:rPr>
        <w:t>附表</w:t>
      </w:r>
    </w:p>
    <w:tbl>
      <w:tblPr>
        <w:tblStyle w:val="12"/>
        <w:tblpPr w:leftFromText="180" w:rightFromText="180" w:vertAnchor="text" w:horzAnchor="page" w:tblpX="1431" w:tblpY="122"/>
        <w:tblOverlap w:val="never"/>
        <w:tblW w:w="141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2"/>
        <w:gridCol w:w="802"/>
        <w:gridCol w:w="626"/>
        <w:gridCol w:w="626"/>
        <w:gridCol w:w="626"/>
        <w:gridCol w:w="626"/>
        <w:gridCol w:w="626"/>
        <w:gridCol w:w="626"/>
        <w:gridCol w:w="626"/>
        <w:gridCol w:w="632"/>
        <w:gridCol w:w="727"/>
        <w:gridCol w:w="727"/>
        <w:gridCol w:w="727"/>
        <w:gridCol w:w="669"/>
        <w:gridCol w:w="704"/>
        <w:gridCol w:w="703"/>
        <w:gridCol w:w="652"/>
        <w:gridCol w:w="866"/>
        <w:gridCol w:w="969"/>
        <w:gridCol w:w="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604" w:type="dxa"/>
            <w:gridSpan w:val="2"/>
            <w:vMerge w:val="restart"/>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批次</w:t>
            </w:r>
          </w:p>
        </w:tc>
        <w:tc>
          <w:tcPr>
            <w:tcW w:w="5014" w:type="dxa"/>
            <w:gridSpan w:val="8"/>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default" w:ascii="Times New Roman" w:hAnsi="Times New Roman" w:eastAsia="宋体" w:cs="Times New Roman"/>
                <w:b/>
                <w:bCs/>
                <w:i w:val="0"/>
                <w:iCs w:val="0"/>
                <w:color w:val="000000"/>
                <w:sz w:val="18"/>
                <w:szCs w:val="18"/>
                <w:u w:val="none"/>
              </w:rPr>
            </w:pPr>
          </w:p>
        </w:tc>
        <w:tc>
          <w:tcPr>
            <w:tcW w:w="2181" w:type="dxa"/>
            <w:gridSpan w:val="3"/>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default" w:ascii="宋体" w:hAnsi="宋体" w:eastAsia="宋体" w:cs="宋体"/>
                <w:b/>
                <w:bCs/>
                <w:i w:val="0"/>
                <w:iCs w:val="0"/>
                <w:color w:val="000000"/>
                <w:kern w:val="0"/>
                <w:sz w:val="18"/>
                <w:szCs w:val="18"/>
                <w:u w:val="none"/>
                <w:lang w:val="en-US" w:eastAsia="zh-CN" w:bidi="ar"/>
              </w:rPr>
              <w:t>粒度分布</w:t>
            </w:r>
          </w:p>
        </w:tc>
        <w:tc>
          <w:tcPr>
            <w:tcW w:w="669" w:type="dxa"/>
            <w:vMerge w:val="restart"/>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宋体" w:hAnsi="宋体" w:eastAsia="宋体" w:cs="宋体"/>
                <w:b/>
                <w:bCs/>
                <w:i w:val="0"/>
                <w:iCs w:val="0"/>
                <w:color w:val="000000"/>
                <w:kern w:val="0"/>
                <w:sz w:val="18"/>
                <w:szCs w:val="18"/>
                <w:u w:val="none"/>
                <w:lang w:val="en-US" w:eastAsia="zh-CN" w:bidi="ar"/>
              </w:rPr>
              <w:t>压实密度</w:t>
            </w:r>
            <w:r>
              <w:rPr>
                <w:rFonts w:hint="default" w:ascii="Times New Roman" w:hAnsi="Times New Roman" w:eastAsia="宋体" w:cs="Times New Roman"/>
                <w:b/>
                <w:bCs/>
                <w:i w:val="0"/>
                <w:iCs w:val="0"/>
                <w:color w:val="000000"/>
                <w:kern w:val="0"/>
                <w:sz w:val="18"/>
                <w:szCs w:val="18"/>
                <w:u w:val="none"/>
                <w:lang w:val="en-US" w:eastAsia="zh-CN" w:bidi="ar"/>
              </w:rPr>
              <w:t>PD</w:t>
            </w:r>
          </w:p>
        </w:tc>
        <w:tc>
          <w:tcPr>
            <w:tcW w:w="704" w:type="dxa"/>
            <w:vMerge w:val="restart"/>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eastAsia" w:ascii="Times New Roman" w:hAnsi="Times New Roman" w:eastAsia="宋体" w:cs="Times New Roman"/>
                <w:b/>
                <w:bCs/>
                <w:i w:val="0"/>
                <w:iCs w:val="0"/>
                <w:color w:val="000000"/>
                <w:kern w:val="0"/>
                <w:sz w:val="18"/>
                <w:szCs w:val="18"/>
                <w:u w:val="none"/>
                <w:lang w:val="en-US" w:eastAsia="zh-CN" w:bidi="ar"/>
              </w:rPr>
              <w:t>p</w:t>
            </w:r>
            <w:r>
              <w:rPr>
                <w:rFonts w:hint="default" w:ascii="Times New Roman" w:hAnsi="Times New Roman" w:eastAsia="宋体" w:cs="Times New Roman"/>
                <w:b/>
                <w:bCs/>
                <w:i w:val="0"/>
                <w:iCs w:val="0"/>
                <w:color w:val="000000"/>
                <w:kern w:val="0"/>
                <w:sz w:val="18"/>
                <w:szCs w:val="18"/>
                <w:u w:val="none"/>
                <w:lang w:val="en-US" w:eastAsia="zh-CN" w:bidi="ar"/>
              </w:rPr>
              <w:t>H</w:t>
            </w:r>
          </w:p>
        </w:tc>
        <w:tc>
          <w:tcPr>
            <w:tcW w:w="703" w:type="dxa"/>
            <w:vMerge w:val="restart"/>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宋体" w:hAnsi="宋体" w:eastAsia="宋体" w:cs="宋体"/>
                <w:b/>
                <w:bCs/>
                <w:i w:val="0"/>
                <w:iCs w:val="0"/>
                <w:color w:val="000000"/>
                <w:kern w:val="0"/>
                <w:sz w:val="18"/>
                <w:szCs w:val="18"/>
                <w:u w:val="none"/>
                <w:lang w:val="en-US" w:eastAsia="zh-CN" w:bidi="ar"/>
              </w:rPr>
              <w:t>比表面积</w:t>
            </w:r>
            <w:r>
              <w:rPr>
                <w:rFonts w:hint="default" w:ascii="Times New Roman" w:hAnsi="Times New Roman" w:eastAsia="宋体" w:cs="Times New Roman"/>
                <w:b/>
                <w:bCs/>
                <w:i w:val="0"/>
                <w:iCs w:val="0"/>
                <w:color w:val="000000"/>
                <w:kern w:val="0"/>
                <w:sz w:val="18"/>
                <w:szCs w:val="18"/>
                <w:u w:val="none"/>
                <w:lang w:val="en-US" w:eastAsia="zh-CN" w:bidi="ar"/>
              </w:rPr>
              <w:t>BET</w:t>
            </w:r>
          </w:p>
        </w:tc>
        <w:tc>
          <w:tcPr>
            <w:tcW w:w="652" w:type="dxa"/>
            <w:vMerge w:val="restart"/>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水分</w:t>
            </w:r>
          </w:p>
        </w:tc>
        <w:tc>
          <w:tcPr>
            <w:tcW w:w="2666" w:type="dxa"/>
            <w:gridSpan w:val="3"/>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宋体" w:hAnsi="宋体" w:eastAsia="宋体" w:cs="宋体"/>
                <w:b/>
                <w:bCs/>
                <w:i w:val="0"/>
                <w:iCs w:val="0"/>
                <w:color w:val="000000"/>
                <w:kern w:val="0"/>
                <w:sz w:val="18"/>
                <w:szCs w:val="18"/>
                <w:u w:val="none"/>
                <w:lang w:val="en-US" w:eastAsia="zh-CN" w:bidi="ar"/>
              </w:rPr>
              <w:t>0.1C</w:t>
            </w:r>
            <w:r>
              <w:rPr>
                <w:rFonts w:hint="eastAsia" w:ascii="宋体" w:hAnsi="宋体" w:eastAsia="宋体" w:cs="宋体"/>
                <w:b/>
                <w:bCs/>
                <w:i w:val="0"/>
                <w:iCs w:val="0"/>
                <w:color w:val="000000"/>
                <w:kern w:val="0"/>
                <w:sz w:val="18"/>
                <w:szCs w:val="18"/>
                <w:u w:val="none"/>
                <w:lang w:val="en-US" w:eastAsia="zh-CN" w:bidi="ar"/>
              </w:rPr>
              <w:t>充放电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604" w:type="dxa"/>
            <w:gridSpan w:val="2"/>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eastAsia" w:ascii="宋体" w:hAnsi="宋体" w:eastAsia="宋体" w:cs="宋体"/>
                <w:b/>
                <w:bCs/>
                <w:i w:val="0"/>
                <w:iCs w:val="0"/>
                <w:color w:val="000000"/>
                <w:sz w:val="18"/>
                <w:szCs w:val="18"/>
                <w:u w:val="none"/>
              </w:rPr>
            </w:pPr>
          </w:p>
        </w:tc>
        <w:tc>
          <w:tcPr>
            <w:tcW w:w="626"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Na</w:t>
            </w:r>
          </w:p>
        </w:tc>
        <w:tc>
          <w:tcPr>
            <w:tcW w:w="626"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Mn</w:t>
            </w:r>
          </w:p>
        </w:tc>
        <w:tc>
          <w:tcPr>
            <w:tcW w:w="626"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Ni</w:t>
            </w:r>
          </w:p>
        </w:tc>
        <w:tc>
          <w:tcPr>
            <w:tcW w:w="626"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Ti</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Cu</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Ca</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Cr</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Zn</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D10</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D50</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D90</w:t>
            </w:r>
          </w:p>
        </w:tc>
        <w:tc>
          <w:tcPr>
            <w:tcW w:w="669"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default" w:ascii="Times New Roman" w:hAnsi="Times New Roman" w:eastAsia="宋体" w:cs="Times New Roman"/>
                <w:b/>
                <w:bCs/>
                <w:i w:val="0"/>
                <w:iCs w:val="0"/>
                <w:color w:val="000000"/>
                <w:sz w:val="18"/>
                <w:szCs w:val="18"/>
                <w:u w:val="none"/>
              </w:rPr>
            </w:pPr>
          </w:p>
        </w:tc>
        <w:tc>
          <w:tcPr>
            <w:tcW w:w="704"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default" w:ascii="Times New Roman" w:hAnsi="Times New Roman" w:eastAsia="宋体" w:cs="Times New Roman"/>
                <w:b/>
                <w:bCs/>
                <w:i w:val="0"/>
                <w:iCs w:val="0"/>
                <w:color w:val="000000"/>
                <w:sz w:val="18"/>
                <w:szCs w:val="18"/>
                <w:u w:val="none"/>
              </w:rPr>
            </w:pPr>
          </w:p>
        </w:tc>
        <w:tc>
          <w:tcPr>
            <w:tcW w:w="703"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default" w:ascii="Times New Roman" w:hAnsi="Times New Roman" w:eastAsia="宋体" w:cs="Times New Roman"/>
                <w:b/>
                <w:bCs/>
                <w:i w:val="0"/>
                <w:iCs w:val="0"/>
                <w:color w:val="000000"/>
                <w:sz w:val="18"/>
                <w:szCs w:val="18"/>
                <w:u w:val="none"/>
              </w:rPr>
            </w:pPr>
          </w:p>
        </w:tc>
        <w:tc>
          <w:tcPr>
            <w:tcW w:w="652" w:type="dxa"/>
            <w:vMerge w:val="continue"/>
            <w:tcBorders>
              <w:top w:val="single" w:color="4F81BD" w:sz="8" w:space="0"/>
              <w:left w:val="single" w:color="4F81BD" w:sz="8" w:space="0"/>
              <w:bottom w:val="single" w:color="4F81BD" w:sz="8" w:space="0"/>
              <w:right w:val="single" w:color="4F81BD" w:sz="8" w:space="0"/>
            </w:tcBorders>
            <w:shd w:val="clear" w:color="auto" w:fill="D0D8E8"/>
            <w:vAlign w:val="center"/>
          </w:tcPr>
          <w:p>
            <w:pPr>
              <w:jc w:val="center"/>
              <w:rPr>
                <w:rFonts w:hint="eastAsia" w:ascii="宋体" w:hAnsi="宋体" w:eastAsia="宋体" w:cs="宋体"/>
                <w:b/>
                <w:bCs/>
                <w:i w:val="0"/>
                <w:iCs w:val="0"/>
                <w:color w:val="000000"/>
                <w:sz w:val="18"/>
                <w:szCs w:val="18"/>
                <w:u w:val="none"/>
              </w:rPr>
            </w:pPr>
          </w:p>
        </w:tc>
        <w:tc>
          <w:tcPr>
            <w:tcW w:w="866"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首充</w:t>
            </w:r>
          </w:p>
        </w:tc>
        <w:tc>
          <w:tcPr>
            <w:tcW w:w="969"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首放</w:t>
            </w:r>
          </w:p>
        </w:tc>
        <w:tc>
          <w:tcPr>
            <w:tcW w:w="831"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604" w:type="dxa"/>
            <w:gridSpan w:val="2"/>
            <w:vMerge w:val="continue"/>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p>
        </w:tc>
        <w:tc>
          <w:tcPr>
            <w:tcW w:w="5014" w:type="dxa"/>
            <w:gridSpan w:val="8"/>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μm</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μm</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μm</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g/cm</w:t>
            </w:r>
            <w:r>
              <w:rPr>
                <w:rFonts w:hint="default" w:ascii="Times New Roman" w:hAnsi="Times New Roman" w:eastAsia="宋体" w:cs="Times New Roman"/>
                <w:b/>
                <w:bCs/>
                <w:i w:val="0"/>
                <w:iCs w:val="0"/>
                <w:color w:val="000000"/>
                <w:kern w:val="0"/>
                <w:sz w:val="18"/>
                <w:szCs w:val="18"/>
                <w:u w:val="none"/>
                <w:vertAlign w:val="superscript"/>
                <w:lang w:val="en-US" w:eastAsia="zh-CN" w:bidi="ar"/>
              </w:rPr>
              <w:t>3</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m</w:t>
            </w:r>
            <w:r>
              <w:rPr>
                <w:rFonts w:hint="default" w:ascii="Times New Roman" w:hAnsi="Times New Roman" w:eastAsia="宋体" w:cs="Times New Roman"/>
                <w:b/>
                <w:bCs/>
                <w:i w:val="0"/>
                <w:iCs w:val="0"/>
                <w:color w:val="000000"/>
                <w:kern w:val="0"/>
                <w:sz w:val="18"/>
                <w:szCs w:val="18"/>
                <w:u w:val="none"/>
                <w:vertAlign w:val="superscript"/>
                <w:lang w:val="en-US" w:eastAsia="zh-CN" w:bidi="ar"/>
              </w:rPr>
              <w:t>2</w:t>
            </w:r>
            <w:r>
              <w:rPr>
                <w:rFonts w:hint="default" w:ascii="Times New Roman" w:hAnsi="Times New Roman" w:eastAsia="宋体" w:cs="Times New Roman"/>
                <w:b/>
                <w:bCs/>
                <w:i w:val="0"/>
                <w:iCs w:val="0"/>
                <w:color w:val="000000"/>
                <w:kern w:val="0"/>
                <w:sz w:val="18"/>
                <w:szCs w:val="18"/>
                <w:u w:val="none"/>
                <w:lang w:val="en-US" w:eastAsia="zh-CN" w:bidi="ar"/>
              </w:rPr>
              <w:t>/g</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ppm</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宋体" w:hAnsi="宋体" w:eastAsia="宋体" w:cs="宋体"/>
                <w:b/>
                <w:bCs/>
                <w:i w:val="0"/>
                <w:iCs w:val="0"/>
                <w:color w:val="000000"/>
                <w:kern w:val="0"/>
                <w:sz w:val="18"/>
                <w:szCs w:val="18"/>
                <w:u w:val="none"/>
                <w:lang w:val="en-US" w:eastAsia="zh-CN" w:bidi="ar"/>
              </w:rPr>
              <w:t>mA·h/g</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宋体" w:hAnsi="宋体" w:eastAsia="宋体" w:cs="宋体"/>
                <w:b/>
                <w:bCs/>
                <w:i w:val="0"/>
                <w:iCs w:val="0"/>
                <w:color w:val="000000"/>
                <w:kern w:val="0"/>
                <w:sz w:val="18"/>
                <w:szCs w:val="18"/>
                <w:u w:val="none"/>
                <w:lang w:val="en-US" w:eastAsia="zh-CN" w:bidi="ar"/>
              </w:rPr>
              <w:t>mA·h/g</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宋体" w:hAnsi="宋体" w:eastAsia="宋体" w:cs="宋体"/>
                <w:b/>
                <w:bCs/>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restart"/>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型号Ⅰ</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不含铜</w:t>
            </w:r>
          </w:p>
        </w:tc>
        <w:tc>
          <w:tcPr>
            <w:tcW w:w="802"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宋体" w:hAnsi="宋体" w:cs="宋体"/>
                <w:i w:val="0"/>
                <w:iCs w:val="0"/>
                <w:color w:val="000000"/>
                <w:kern w:val="0"/>
                <w:sz w:val="18"/>
                <w:szCs w:val="18"/>
                <w:u w:val="none"/>
                <w:lang w:val="en-US" w:eastAsia="zh-CN" w:bidi="ar"/>
              </w:rPr>
              <w:t>1</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19.16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13.90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26.67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7.76</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67.3</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5.2</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0.996</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2.219</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4.493</w:t>
            </w:r>
          </w:p>
        </w:tc>
        <w:tc>
          <w:tcPr>
            <w:tcW w:w="6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2.975</w:t>
            </w:r>
          </w:p>
        </w:tc>
        <w:tc>
          <w:tcPr>
            <w:tcW w:w="704"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12.83</w:t>
            </w:r>
          </w:p>
        </w:tc>
        <w:tc>
          <w:tcPr>
            <w:tcW w:w="703"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1.97 </w:t>
            </w:r>
          </w:p>
        </w:tc>
        <w:tc>
          <w:tcPr>
            <w:tcW w:w="65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520.6</w:t>
            </w:r>
          </w:p>
        </w:tc>
        <w:tc>
          <w:tcPr>
            <w:tcW w:w="86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130.7 </w:t>
            </w:r>
          </w:p>
        </w:tc>
        <w:tc>
          <w:tcPr>
            <w:tcW w:w="9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125.6 </w:t>
            </w:r>
          </w:p>
        </w:tc>
        <w:tc>
          <w:tcPr>
            <w:tcW w:w="831"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96.1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cs="Times New Roman"/>
                <w:i w:val="0"/>
                <w:iCs w:val="0"/>
                <w:color w:val="000000"/>
                <w:kern w:val="0"/>
                <w:sz w:val="18"/>
                <w:szCs w:val="18"/>
                <w:u w:val="none"/>
                <w:lang w:val="en-US" w:eastAsia="zh-CN" w:bidi="ar"/>
              </w:rPr>
              <w:t>2</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19.68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11.27</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26.07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9.10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136.0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13.6</w:t>
            </w:r>
          </w:p>
        </w:tc>
        <w:tc>
          <w:tcPr>
            <w:tcW w:w="63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6.3</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0.884</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1.885</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3.953</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2.969</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13.19</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1.18 </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680.0 </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135.1 </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128.8 </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cs="Times New Roman"/>
                <w:i w:val="0"/>
                <w:iCs w:val="0"/>
                <w:color w:val="000000"/>
                <w:kern w:val="0"/>
                <w:sz w:val="18"/>
                <w:szCs w:val="18"/>
                <w:u w:val="none"/>
                <w:lang w:val="en-US" w:eastAsia="zh-CN" w:bidi="ar"/>
              </w:rPr>
              <w:t>3</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19.14</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14.06</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25.72</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7.79</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128.8</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8.6</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18.4</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3.634</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8.066</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15.305</w:t>
            </w:r>
          </w:p>
        </w:tc>
        <w:tc>
          <w:tcPr>
            <w:tcW w:w="6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3.098</w:t>
            </w:r>
          </w:p>
        </w:tc>
        <w:tc>
          <w:tcPr>
            <w:tcW w:w="704"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13.09</w:t>
            </w:r>
          </w:p>
        </w:tc>
        <w:tc>
          <w:tcPr>
            <w:tcW w:w="703"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0.71</w:t>
            </w:r>
          </w:p>
        </w:tc>
        <w:tc>
          <w:tcPr>
            <w:tcW w:w="65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702.2</w:t>
            </w:r>
          </w:p>
        </w:tc>
        <w:tc>
          <w:tcPr>
            <w:tcW w:w="86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146.6 </w:t>
            </w:r>
          </w:p>
        </w:tc>
        <w:tc>
          <w:tcPr>
            <w:tcW w:w="9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138.2 </w:t>
            </w:r>
          </w:p>
        </w:tc>
        <w:tc>
          <w:tcPr>
            <w:tcW w:w="831"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cs="Times New Roman"/>
                <w:i w:val="0"/>
                <w:iCs w:val="0"/>
                <w:color w:val="000000"/>
                <w:kern w:val="0"/>
                <w:sz w:val="18"/>
                <w:szCs w:val="18"/>
                <w:u w:val="none"/>
                <w:lang w:val="en-US" w:eastAsia="zh-CN" w:bidi="ar"/>
              </w:rPr>
              <w:t>4</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20.53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13.15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25.03</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7.69</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237.2</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14.0 </w:t>
            </w:r>
          </w:p>
        </w:tc>
        <w:tc>
          <w:tcPr>
            <w:tcW w:w="63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11.4</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1.038</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2.233</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4.371</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3.063 </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13.02</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1.16 </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613.3</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137.6 </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127.3 </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cs="Times New Roman"/>
                <w:i w:val="0"/>
                <w:iCs w:val="0"/>
                <w:color w:val="000000"/>
                <w:kern w:val="0"/>
                <w:sz w:val="18"/>
                <w:szCs w:val="18"/>
                <w:u w:val="none"/>
                <w:lang w:val="en-US" w:eastAsia="zh-CN" w:bidi="ar"/>
              </w:rPr>
              <w:t>5</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19.66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13.64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26.03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7.58</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67.2</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6.3</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40.3</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0.654</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1.303</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2.446</w:t>
            </w:r>
          </w:p>
        </w:tc>
        <w:tc>
          <w:tcPr>
            <w:tcW w:w="6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3.044</w:t>
            </w:r>
          </w:p>
        </w:tc>
        <w:tc>
          <w:tcPr>
            <w:tcW w:w="704"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12.85</w:t>
            </w:r>
          </w:p>
        </w:tc>
        <w:tc>
          <w:tcPr>
            <w:tcW w:w="703"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1.27 </w:t>
            </w:r>
          </w:p>
        </w:tc>
        <w:tc>
          <w:tcPr>
            <w:tcW w:w="65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440.5</w:t>
            </w:r>
          </w:p>
        </w:tc>
        <w:tc>
          <w:tcPr>
            <w:tcW w:w="86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136.6 </w:t>
            </w:r>
          </w:p>
        </w:tc>
        <w:tc>
          <w:tcPr>
            <w:tcW w:w="9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130.5 </w:t>
            </w:r>
          </w:p>
        </w:tc>
        <w:tc>
          <w:tcPr>
            <w:tcW w:w="831"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restart"/>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型号Ⅱ</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含铜</w:t>
            </w:r>
          </w:p>
        </w:tc>
        <w:tc>
          <w:tcPr>
            <w:tcW w:w="802"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Times New Roman" w:hAnsi="Times New Roman" w:eastAsia="宋体" w:cs="Times New Roman"/>
                <w:i w:val="0"/>
                <w:iCs w:val="0"/>
                <w:color w:val="000000"/>
                <w:kern w:val="0"/>
                <w:sz w:val="18"/>
                <w:szCs w:val="18"/>
                <w:u w:val="none"/>
                <w:lang w:val="en-US" w:eastAsia="zh-CN" w:bidi="ar"/>
              </w:rPr>
              <w:t>6</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17.58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18.84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23.55</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3.9</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3.18</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235.5</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17.1</w:t>
            </w:r>
          </w:p>
        </w:tc>
        <w:tc>
          <w:tcPr>
            <w:tcW w:w="63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18.7</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2.754</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6.89</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15.985</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3.310 </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12.53 </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1.16 </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588.0 </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125.8 </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124.5 </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99.0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Times New Roman" w:hAnsi="Times New Roman" w:eastAsia="宋体" w:cs="Times New Roman"/>
                <w:i w:val="0"/>
                <w:iCs w:val="0"/>
                <w:color w:val="000000"/>
                <w:kern w:val="0"/>
                <w:sz w:val="18"/>
                <w:szCs w:val="18"/>
                <w:u w:val="none"/>
                <w:lang w:val="en-US" w:eastAsia="zh-CN" w:bidi="ar"/>
              </w:rPr>
              <w:t>7</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18.02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18.71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19.08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3.20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2.19 </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103.6</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20.6</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24.9</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1.479 </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3.368 </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7.310 </w:t>
            </w:r>
          </w:p>
        </w:tc>
        <w:tc>
          <w:tcPr>
            <w:tcW w:w="6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3.245</w:t>
            </w:r>
          </w:p>
        </w:tc>
        <w:tc>
          <w:tcPr>
            <w:tcW w:w="704"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13.15</w:t>
            </w:r>
          </w:p>
        </w:tc>
        <w:tc>
          <w:tcPr>
            <w:tcW w:w="703"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1.43 </w:t>
            </w:r>
          </w:p>
        </w:tc>
        <w:tc>
          <w:tcPr>
            <w:tcW w:w="65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603.9</w:t>
            </w:r>
          </w:p>
        </w:tc>
        <w:tc>
          <w:tcPr>
            <w:tcW w:w="86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w:t>
            </w:r>
          </w:p>
        </w:tc>
        <w:tc>
          <w:tcPr>
            <w:tcW w:w="9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128.2</w:t>
            </w:r>
          </w:p>
        </w:tc>
        <w:tc>
          <w:tcPr>
            <w:tcW w:w="831"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91.57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Times New Roman" w:hAnsi="Times New Roman" w:eastAsia="宋体" w:cs="Times New Roman"/>
                <w:i w:val="0"/>
                <w:iCs w:val="0"/>
                <w:color w:val="000000"/>
                <w:kern w:val="0"/>
                <w:sz w:val="18"/>
                <w:szCs w:val="18"/>
                <w:u w:val="none"/>
                <w:lang w:val="en-US" w:eastAsia="zh-CN" w:bidi="ar"/>
              </w:rPr>
              <w:t>8</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17.58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18.84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23.55</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3.90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2.69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223.3</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15.8</w:t>
            </w:r>
          </w:p>
        </w:tc>
        <w:tc>
          <w:tcPr>
            <w:tcW w:w="63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25.9</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2.033</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4.992</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10.367</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3.311</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12.9</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1.46</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733.2</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132.7 </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129.9 </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97.9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D0D8E8"/>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Times New Roman" w:hAnsi="Times New Roman" w:eastAsia="宋体" w:cs="Times New Roman"/>
                <w:i w:val="0"/>
                <w:iCs w:val="0"/>
                <w:color w:val="000000"/>
                <w:kern w:val="0"/>
                <w:sz w:val="18"/>
                <w:szCs w:val="18"/>
                <w:u w:val="none"/>
                <w:lang w:val="en-US" w:eastAsia="zh-CN" w:bidi="ar"/>
              </w:rPr>
              <w:t>9</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18.97</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18.23</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21.71</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3.76</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77.7</w:t>
            </w:r>
          </w:p>
        </w:tc>
        <w:tc>
          <w:tcPr>
            <w:tcW w:w="62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19.4</w:t>
            </w:r>
          </w:p>
        </w:tc>
        <w:tc>
          <w:tcPr>
            <w:tcW w:w="63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24.9</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2.899</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8.228</w:t>
            </w:r>
          </w:p>
        </w:tc>
        <w:tc>
          <w:tcPr>
            <w:tcW w:w="727"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17.466</w:t>
            </w:r>
          </w:p>
        </w:tc>
        <w:tc>
          <w:tcPr>
            <w:tcW w:w="6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3.294</w:t>
            </w:r>
          </w:p>
        </w:tc>
        <w:tc>
          <w:tcPr>
            <w:tcW w:w="704"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12.86</w:t>
            </w:r>
          </w:p>
        </w:tc>
        <w:tc>
          <w:tcPr>
            <w:tcW w:w="703" w:type="dxa"/>
            <w:tcBorders>
              <w:top w:val="single" w:color="4F81BD" w:sz="8" w:space="0"/>
              <w:left w:val="single" w:color="4F81BD" w:sz="8" w:space="0"/>
              <w:bottom w:val="single" w:color="4F81BD" w:sz="8" w:space="0"/>
              <w:right w:val="single" w:color="4F81BD" w:sz="8" w:space="0"/>
            </w:tcBorders>
            <w:shd w:val="clear" w:color="auto" w:fill="D0D8E8"/>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0.88</w:t>
            </w:r>
          </w:p>
        </w:tc>
        <w:tc>
          <w:tcPr>
            <w:tcW w:w="652"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381.8</w:t>
            </w:r>
          </w:p>
        </w:tc>
        <w:tc>
          <w:tcPr>
            <w:tcW w:w="866"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136.4 </w:t>
            </w:r>
          </w:p>
        </w:tc>
        <w:tc>
          <w:tcPr>
            <w:tcW w:w="969"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126.1 </w:t>
            </w:r>
          </w:p>
        </w:tc>
        <w:tc>
          <w:tcPr>
            <w:tcW w:w="831" w:type="dxa"/>
            <w:tcBorders>
              <w:top w:val="single" w:color="4F81BD" w:sz="8" w:space="0"/>
              <w:left w:val="single" w:color="4F81BD" w:sz="8" w:space="0"/>
              <w:bottom w:val="single" w:color="4F81BD" w:sz="8" w:space="0"/>
              <w:right w:val="single" w:color="4F81BD" w:sz="8" w:space="0"/>
            </w:tcBorders>
            <w:shd w:val="clear" w:color="auto" w:fill="D0D8E8"/>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92.5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802" w:type="dxa"/>
            <w:vMerge w:val="continue"/>
            <w:tcBorders>
              <w:top w:val="single" w:color="4F81BD" w:sz="8" w:space="0"/>
              <w:left w:val="single" w:color="4F81BD" w:sz="8" w:space="0"/>
              <w:bottom w:val="single" w:color="4F81BD" w:sz="8" w:space="0"/>
              <w:right w:val="single" w:color="4F81BD" w:sz="8" w:space="0"/>
            </w:tcBorders>
            <w:shd w:val="clear" w:color="auto" w:fill="E9EDF4"/>
            <w:noWrap/>
            <w:vAlign w:val="center"/>
          </w:tcPr>
          <w:p>
            <w:pPr>
              <w:jc w:val="center"/>
              <w:rPr>
                <w:rFonts w:hint="eastAsia" w:ascii="宋体" w:hAnsi="宋体" w:eastAsia="宋体" w:cs="宋体"/>
                <w:i w:val="0"/>
                <w:iCs w:val="0"/>
                <w:color w:val="000000"/>
                <w:sz w:val="18"/>
                <w:szCs w:val="18"/>
                <w:u w:val="none"/>
              </w:rPr>
            </w:pPr>
          </w:p>
        </w:tc>
        <w:tc>
          <w:tcPr>
            <w:tcW w:w="802"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样品</w:t>
            </w:r>
            <w:r>
              <w:rPr>
                <w:rFonts w:hint="eastAsia" w:ascii="Times New Roman" w:hAnsi="Times New Roman" w:eastAsia="宋体" w:cs="Times New Roman"/>
                <w:i w:val="0"/>
                <w:iCs w:val="0"/>
                <w:color w:val="000000"/>
                <w:kern w:val="0"/>
                <w:sz w:val="18"/>
                <w:szCs w:val="18"/>
                <w:u w:val="none"/>
                <w:lang w:val="en-US" w:eastAsia="zh-CN" w:bidi="ar"/>
              </w:rPr>
              <w:t>10</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18.02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18.71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19.08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3.20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2.64 </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103.6</w:t>
            </w:r>
          </w:p>
        </w:tc>
        <w:tc>
          <w:tcPr>
            <w:tcW w:w="62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20.6</w:t>
            </w:r>
          </w:p>
        </w:tc>
        <w:tc>
          <w:tcPr>
            <w:tcW w:w="63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24.9</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1.479 </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3.368 </w:t>
            </w:r>
          </w:p>
        </w:tc>
        <w:tc>
          <w:tcPr>
            <w:tcW w:w="727"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7.310 </w:t>
            </w:r>
          </w:p>
        </w:tc>
        <w:tc>
          <w:tcPr>
            <w:tcW w:w="6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3.245</w:t>
            </w:r>
          </w:p>
        </w:tc>
        <w:tc>
          <w:tcPr>
            <w:tcW w:w="704"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13.15</w:t>
            </w:r>
          </w:p>
        </w:tc>
        <w:tc>
          <w:tcPr>
            <w:tcW w:w="703" w:type="dxa"/>
            <w:tcBorders>
              <w:top w:val="single" w:color="4F81BD" w:sz="8" w:space="0"/>
              <w:left w:val="single" w:color="4F81BD" w:sz="8" w:space="0"/>
              <w:bottom w:val="single" w:color="4F81BD" w:sz="8" w:space="0"/>
              <w:right w:val="single" w:color="4F81BD" w:sz="8" w:space="0"/>
            </w:tcBorders>
            <w:shd w:val="clear" w:color="auto" w:fill="E9EDF4"/>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 xml:space="preserve">1.43 </w:t>
            </w:r>
          </w:p>
        </w:tc>
        <w:tc>
          <w:tcPr>
            <w:tcW w:w="652"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603.9</w:t>
            </w:r>
          </w:p>
        </w:tc>
        <w:tc>
          <w:tcPr>
            <w:tcW w:w="866"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124.2</w:t>
            </w:r>
          </w:p>
        </w:tc>
        <w:tc>
          <w:tcPr>
            <w:tcW w:w="969"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123.1</w:t>
            </w:r>
          </w:p>
        </w:tc>
        <w:tc>
          <w:tcPr>
            <w:tcW w:w="831" w:type="dxa"/>
            <w:tcBorders>
              <w:top w:val="single" w:color="4F81BD" w:sz="8" w:space="0"/>
              <w:left w:val="single" w:color="4F81BD" w:sz="8" w:space="0"/>
              <w:bottom w:val="single" w:color="4F81BD" w:sz="8" w:space="0"/>
              <w:right w:val="single" w:color="4F81BD" w:sz="8" w:space="0"/>
            </w:tcBorders>
            <w:shd w:val="clear" w:color="auto" w:fill="E9EDF4"/>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99.12</w:t>
            </w:r>
          </w:p>
        </w:tc>
      </w:tr>
    </w:tbl>
    <w:p>
      <w:pPr>
        <w:rPr>
          <w:rFonts w:hint="default"/>
          <w:szCs w:val="21"/>
          <w:lang w:val="en-US" w:eastAsia="zh-CN"/>
        </w:rPr>
      </w:pPr>
      <w:bookmarkStart w:id="8" w:name="_GoBack"/>
      <w:bookmarkEnd w:id="8"/>
    </w:p>
    <w:sectPr>
      <w:pgSz w:w="16838" w:h="11906" w:orient="landscape"/>
      <w:pgMar w:top="1080" w:right="1440" w:bottom="1080" w:left="1440" w:header="851" w:footer="992" w:gutter="0"/>
      <w:pgBorders w:offsetFrom="page">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2759393"/>
      <w:docPartObj>
        <w:docPartGallery w:val="autotext"/>
      </w:docPartObj>
    </w:sdtPr>
    <w:sdtContent>
      <w:sdt>
        <w:sdtPr>
          <w:id w:val="1728636285"/>
          <w:docPartObj>
            <w:docPartGallery w:val="autotext"/>
          </w:docPartObj>
        </w:sdtPr>
        <w:sdtContent>
          <w:p>
            <w:pPr>
              <w:pStyle w:val="8"/>
              <w:ind w:right="210"/>
              <w:jc w:val="center"/>
            </w:pPr>
          </w:p>
        </w:sdtContent>
      </w:sdt>
    </w:sdtContent>
  </w:sdt>
  <w:p>
    <w:pPr>
      <w:pStyle w:val="8"/>
      <w:ind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210"/>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ind w:right="2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j+QQz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j+QQzAgAAZQQAAA4AAAAAAAAAAQAgAAAAHwEAAGRycy9lMm9Eb2MueG1sUEsF&#10;BgAAAAAGAAYAWQEAAMQFAAAAAA==&#10;">
              <v:fill on="f" focussize="0,0"/>
              <v:stroke on="f" weight="0.5pt"/>
              <v:imagedata o:title=""/>
              <o:lock v:ext="edit" aspectratio="f"/>
              <v:textbox inset="0mm,0mm,0mm,0mm" style="mso-fit-shape-to-text:t;">
                <w:txbxContent>
                  <w:p>
                    <w:pPr>
                      <w:pStyle w:val="8"/>
                      <w:ind w:right="210"/>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49C670"/>
    <w:multiLevelType w:val="singleLevel"/>
    <w:tmpl w:val="DE49C670"/>
    <w:lvl w:ilvl="0" w:tentative="0">
      <w:start w:val="1"/>
      <w:numFmt w:val="decimal"/>
      <w:lvlText w:val="(%1)"/>
      <w:lvlJc w:val="left"/>
      <w:pPr>
        <w:ind w:left="425" w:hanging="425"/>
      </w:pPr>
      <w:rPr>
        <w:rFonts w:hint="default"/>
      </w:rPr>
    </w:lvl>
  </w:abstractNum>
  <w:abstractNum w:abstractNumId="1">
    <w:nsid w:val="2882B174"/>
    <w:multiLevelType w:val="singleLevel"/>
    <w:tmpl w:val="2882B174"/>
    <w:lvl w:ilvl="0" w:tentative="0">
      <w:start w:val="1"/>
      <w:numFmt w:val="decimal"/>
      <w:lvlText w:val="(%1)"/>
      <w:lvlJc w:val="left"/>
      <w:pPr>
        <w:ind w:left="425" w:hanging="425"/>
      </w:pPr>
      <w:rPr>
        <w:rFonts w:hint="default"/>
      </w:rPr>
    </w:lvl>
  </w:abstractNum>
  <w:abstractNum w:abstractNumId="2">
    <w:nsid w:val="4EF9A4A6"/>
    <w:multiLevelType w:val="singleLevel"/>
    <w:tmpl w:val="4EF9A4A6"/>
    <w:lvl w:ilvl="0" w:tentative="0">
      <w:start w:val="2"/>
      <w:numFmt w:val="decimal"/>
      <w:suff w:val="nothing"/>
      <w:lvlText w:val="（%1）"/>
      <w:lvlJc w:val="left"/>
    </w:lvl>
  </w:abstractNum>
  <w:abstractNum w:abstractNumId="3">
    <w:nsid w:val="667B51DC"/>
    <w:multiLevelType w:val="multilevel"/>
    <w:tmpl w:val="667B51DC"/>
    <w:lvl w:ilvl="0" w:tentative="0">
      <w:start w:val="1"/>
      <w:numFmt w:val="decimal"/>
      <w:pStyle w:val="31"/>
      <w:lvlText w:val="表%1"/>
      <w:lvlJc w:val="center"/>
      <w:pPr>
        <w:ind w:left="420" w:hanging="420"/>
      </w:pPr>
      <w:rPr>
        <w:rFonts w:hint="eastAsia" w:ascii="黑体" w:hAnsi="黑体" w:eastAsia="黑体"/>
        <w:b w:val="0"/>
        <w:bCs w:val="0"/>
        <w:sz w:val="21"/>
        <w:szCs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pStyle w:val="19"/>
      <w:suff w:val="nothing"/>
      <w:lvlText w:val="%1%2.%3　"/>
      <w:lvlJc w:val="left"/>
      <w:pPr>
        <w:ind w:left="142"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735"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5ZmI1NjdjNjEyNWU1ZDkxMWNmODkwNmY3ZmZkNmQifQ=="/>
  </w:docVars>
  <w:rsids>
    <w:rsidRoot w:val="007D5B55"/>
    <w:rsid w:val="000A0929"/>
    <w:rsid w:val="000B0578"/>
    <w:rsid w:val="000E79D1"/>
    <w:rsid w:val="000F71AA"/>
    <w:rsid w:val="00196D9E"/>
    <w:rsid w:val="001A108C"/>
    <w:rsid w:val="001B50BE"/>
    <w:rsid w:val="001B5A12"/>
    <w:rsid w:val="002F5467"/>
    <w:rsid w:val="003B44A9"/>
    <w:rsid w:val="003E1A50"/>
    <w:rsid w:val="004731E9"/>
    <w:rsid w:val="00581133"/>
    <w:rsid w:val="005C02EC"/>
    <w:rsid w:val="005D2B74"/>
    <w:rsid w:val="005E4418"/>
    <w:rsid w:val="00616035"/>
    <w:rsid w:val="00647000"/>
    <w:rsid w:val="006C2A17"/>
    <w:rsid w:val="007142A2"/>
    <w:rsid w:val="007B6181"/>
    <w:rsid w:val="007C6901"/>
    <w:rsid w:val="007D5B55"/>
    <w:rsid w:val="007D7FF1"/>
    <w:rsid w:val="00822CD3"/>
    <w:rsid w:val="00862C9A"/>
    <w:rsid w:val="009303DF"/>
    <w:rsid w:val="00944FC5"/>
    <w:rsid w:val="00967558"/>
    <w:rsid w:val="009D66BC"/>
    <w:rsid w:val="00A07ABD"/>
    <w:rsid w:val="00AB35C0"/>
    <w:rsid w:val="00AE0C1D"/>
    <w:rsid w:val="00C358A1"/>
    <w:rsid w:val="00C90C75"/>
    <w:rsid w:val="00CA00C3"/>
    <w:rsid w:val="00CA5284"/>
    <w:rsid w:val="00CE4FC1"/>
    <w:rsid w:val="00D10F69"/>
    <w:rsid w:val="00DF1B02"/>
    <w:rsid w:val="00DF27D7"/>
    <w:rsid w:val="00E201DA"/>
    <w:rsid w:val="00E4578A"/>
    <w:rsid w:val="00EF213E"/>
    <w:rsid w:val="00F46AF2"/>
    <w:rsid w:val="00FE26B1"/>
    <w:rsid w:val="015B7363"/>
    <w:rsid w:val="0193486B"/>
    <w:rsid w:val="01A91CEF"/>
    <w:rsid w:val="023852BF"/>
    <w:rsid w:val="027A0EFC"/>
    <w:rsid w:val="028D110E"/>
    <w:rsid w:val="02D43957"/>
    <w:rsid w:val="03521A83"/>
    <w:rsid w:val="03E67B70"/>
    <w:rsid w:val="03F81BB3"/>
    <w:rsid w:val="043B2184"/>
    <w:rsid w:val="04A173A1"/>
    <w:rsid w:val="04F22EC4"/>
    <w:rsid w:val="0500633D"/>
    <w:rsid w:val="057A6063"/>
    <w:rsid w:val="059840C4"/>
    <w:rsid w:val="05D44CC2"/>
    <w:rsid w:val="067F695D"/>
    <w:rsid w:val="06D92914"/>
    <w:rsid w:val="06ED1A6C"/>
    <w:rsid w:val="0705374D"/>
    <w:rsid w:val="07441BDB"/>
    <w:rsid w:val="07613ADD"/>
    <w:rsid w:val="07CE0FBC"/>
    <w:rsid w:val="07D648BC"/>
    <w:rsid w:val="07E86EA8"/>
    <w:rsid w:val="08A838F8"/>
    <w:rsid w:val="08EF782A"/>
    <w:rsid w:val="090F2531"/>
    <w:rsid w:val="099A243E"/>
    <w:rsid w:val="09BF7F96"/>
    <w:rsid w:val="0A15557E"/>
    <w:rsid w:val="0A46482A"/>
    <w:rsid w:val="0A8B26E2"/>
    <w:rsid w:val="0AA936A8"/>
    <w:rsid w:val="0AAB5FCE"/>
    <w:rsid w:val="0AC316DB"/>
    <w:rsid w:val="0AC55ED6"/>
    <w:rsid w:val="0AE05F6E"/>
    <w:rsid w:val="0B1A70FF"/>
    <w:rsid w:val="0B41708C"/>
    <w:rsid w:val="0BB657D2"/>
    <w:rsid w:val="0BC84C9D"/>
    <w:rsid w:val="0C62014F"/>
    <w:rsid w:val="0C8D624E"/>
    <w:rsid w:val="0CC7352F"/>
    <w:rsid w:val="0DA46ECC"/>
    <w:rsid w:val="0DA56D23"/>
    <w:rsid w:val="0DC403C7"/>
    <w:rsid w:val="0E1278F4"/>
    <w:rsid w:val="0E217A05"/>
    <w:rsid w:val="0E76187E"/>
    <w:rsid w:val="0EAA2609"/>
    <w:rsid w:val="0F0937EF"/>
    <w:rsid w:val="0FF27D65"/>
    <w:rsid w:val="103D2EB8"/>
    <w:rsid w:val="10AA2602"/>
    <w:rsid w:val="11405C91"/>
    <w:rsid w:val="116D15B9"/>
    <w:rsid w:val="118B1B00"/>
    <w:rsid w:val="12A366EA"/>
    <w:rsid w:val="12DE01C7"/>
    <w:rsid w:val="12EF531C"/>
    <w:rsid w:val="13062242"/>
    <w:rsid w:val="137375CA"/>
    <w:rsid w:val="143F180C"/>
    <w:rsid w:val="14A71CE0"/>
    <w:rsid w:val="14B22DFE"/>
    <w:rsid w:val="1511348C"/>
    <w:rsid w:val="153351AD"/>
    <w:rsid w:val="15384EC7"/>
    <w:rsid w:val="15413123"/>
    <w:rsid w:val="15E53392"/>
    <w:rsid w:val="170744C6"/>
    <w:rsid w:val="17AB5E3B"/>
    <w:rsid w:val="17C53A26"/>
    <w:rsid w:val="181255A9"/>
    <w:rsid w:val="189C36EF"/>
    <w:rsid w:val="18D6665E"/>
    <w:rsid w:val="190A4104"/>
    <w:rsid w:val="193B31C1"/>
    <w:rsid w:val="197251D2"/>
    <w:rsid w:val="19AE6746"/>
    <w:rsid w:val="19CF2B3F"/>
    <w:rsid w:val="1A066EE2"/>
    <w:rsid w:val="1A104DF2"/>
    <w:rsid w:val="1ADB7C20"/>
    <w:rsid w:val="1B6D07AC"/>
    <w:rsid w:val="1BF0758F"/>
    <w:rsid w:val="1C1F002B"/>
    <w:rsid w:val="1C62124E"/>
    <w:rsid w:val="1C6E4F8F"/>
    <w:rsid w:val="1C6F108C"/>
    <w:rsid w:val="1C7C03BF"/>
    <w:rsid w:val="1CB35CC7"/>
    <w:rsid w:val="1DA203A4"/>
    <w:rsid w:val="1DFE2DDA"/>
    <w:rsid w:val="1E7146D9"/>
    <w:rsid w:val="1F0C391F"/>
    <w:rsid w:val="1F1A77B5"/>
    <w:rsid w:val="1F2C162D"/>
    <w:rsid w:val="1F742D55"/>
    <w:rsid w:val="203C12C4"/>
    <w:rsid w:val="206402B0"/>
    <w:rsid w:val="20894618"/>
    <w:rsid w:val="219D595D"/>
    <w:rsid w:val="21D70261"/>
    <w:rsid w:val="228E52DC"/>
    <w:rsid w:val="22D0540E"/>
    <w:rsid w:val="23201418"/>
    <w:rsid w:val="23B26C9D"/>
    <w:rsid w:val="23EF2D0C"/>
    <w:rsid w:val="244A4ACA"/>
    <w:rsid w:val="24D25FCD"/>
    <w:rsid w:val="258145FA"/>
    <w:rsid w:val="268846B3"/>
    <w:rsid w:val="274947D8"/>
    <w:rsid w:val="27670767"/>
    <w:rsid w:val="288365F5"/>
    <w:rsid w:val="29000597"/>
    <w:rsid w:val="2933313B"/>
    <w:rsid w:val="296F495F"/>
    <w:rsid w:val="2A9233CF"/>
    <w:rsid w:val="2AAD0830"/>
    <w:rsid w:val="2C02798C"/>
    <w:rsid w:val="2C6E5BDC"/>
    <w:rsid w:val="2C7878FF"/>
    <w:rsid w:val="2C7B6384"/>
    <w:rsid w:val="2CFF79F9"/>
    <w:rsid w:val="2D437A3F"/>
    <w:rsid w:val="2DC4121D"/>
    <w:rsid w:val="2EA442F4"/>
    <w:rsid w:val="2EA729FD"/>
    <w:rsid w:val="2EDD6A89"/>
    <w:rsid w:val="2FE81064"/>
    <w:rsid w:val="300206F2"/>
    <w:rsid w:val="306161FE"/>
    <w:rsid w:val="30AD732A"/>
    <w:rsid w:val="31300500"/>
    <w:rsid w:val="31592A40"/>
    <w:rsid w:val="31C13979"/>
    <w:rsid w:val="32202650"/>
    <w:rsid w:val="325C4EF2"/>
    <w:rsid w:val="332C4977"/>
    <w:rsid w:val="333A261A"/>
    <w:rsid w:val="338926FE"/>
    <w:rsid w:val="34B365E7"/>
    <w:rsid w:val="35064C8D"/>
    <w:rsid w:val="350E42AB"/>
    <w:rsid w:val="35102DFC"/>
    <w:rsid w:val="36001A24"/>
    <w:rsid w:val="36993074"/>
    <w:rsid w:val="36E03F37"/>
    <w:rsid w:val="379E0FB4"/>
    <w:rsid w:val="37A71954"/>
    <w:rsid w:val="37E10881"/>
    <w:rsid w:val="38166909"/>
    <w:rsid w:val="384F5809"/>
    <w:rsid w:val="38507FCD"/>
    <w:rsid w:val="38BF00B4"/>
    <w:rsid w:val="38CB3A6B"/>
    <w:rsid w:val="390F7E89"/>
    <w:rsid w:val="398C29B4"/>
    <w:rsid w:val="39C963B7"/>
    <w:rsid w:val="3A0449A8"/>
    <w:rsid w:val="3A9542D2"/>
    <w:rsid w:val="3AA87FEF"/>
    <w:rsid w:val="3AB4296B"/>
    <w:rsid w:val="3AEC2FDD"/>
    <w:rsid w:val="3BA870A7"/>
    <w:rsid w:val="3C007155"/>
    <w:rsid w:val="3C197235"/>
    <w:rsid w:val="3C2F6BAA"/>
    <w:rsid w:val="3C551209"/>
    <w:rsid w:val="3C590BE0"/>
    <w:rsid w:val="3CA25105"/>
    <w:rsid w:val="3D737422"/>
    <w:rsid w:val="3DBE42DD"/>
    <w:rsid w:val="3DFE709C"/>
    <w:rsid w:val="3E7160C8"/>
    <w:rsid w:val="3EA579D2"/>
    <w:rsid w:val="3EE66E54"/>
    <w:rsid w:val="3F0D550E"/>
    <w:rsid w:val="3F0F00AE"/>
    <w:rsid w:val="3F9D6EBC"/>
    <w:rsid w:val="3FE35FA7"/>
    <w:rsid w:val="40330402"/>
    <w:rsid w:val="403913BF"/>
    <w:rsid w:val="414254EA"/>
    <w:rsid w:val="414C12A5"/>
    <w:rsid w:val="421B3FB0"/>
    <w:rsid w:val="4246491B"/>
    <w:rsid w:val="42484801"/>
    <w:rsid w:val="425B2E88"/>
    <w:rsid w:val="429F7511"/>
    <w:rsid w:val="430B2524"/>
    <w:rsid w:val="43A114D6"/>
    <w:rsid w:val="44092FD9"/>
    <w:rsid w:val="44552226"/>
    <w:rsid w:val="447E69A8"/>
    <w:rsid w:val="451A63EA"/>
    <w:rsid w:val="452B23D9"/>
    <w:rsid w:val="46751D9D"/>
    <w:rsid w:val="46791F59"/>
    <w:rsid w:val="468A60CE"/>
    <w:rsid w:val="47626483"/>
    <w:rsid w:val="47B31DCD"/>
    <w:rsid w:val="483E3960"/>
    <w:rsid w:val="484B248A"/>
    <w:rsid w:val="48B5721D"/>
    <w:rsid w:val="49FC6BE8"/>
    <w:rsid w:val="4A073A1B"/>
    <w:rsid w:val="4A63792F"/>
    <w:rsid w:val="4A8D358E"/>
    <w:rsid w:val="4AAC6FB0"/>
    <w:rsid w:val="4B16569E"/>
    <w:rsid w:val="4B4E290C"/>
    <w:rsid w:val="4B572FBE"/>
    <w:rsid w:val="4BCC585A"/>
    <w:rsid w:val="4CF25608"/>
    <w:rsid w:val="4D0516D6"/>
    <w:rsid w:val="4D295DCA"/>
    <w:rsid w:val="4D511CC9"/>
    <w:rsid w:val="4DA05D6F"/>
    <w:rsid w:val="4E675D51"/>
    <w:rsid w:val="4EA61747"/>
    <w:rsid w:val="4ED1633D"/>
    <w:rsid w:val="4EF7213E"/>
    <w:rsid w:val="4F285DBE"/>
    <w:rsid w:val="4F483646"/>
    <w:rsid w:val="4F626745"/>
    <w:rsid w:val="50152710"/>
    <w:rsid w:val="5138075A"/>
    <w:rsid w:val="51994290"/>
    <w:rsid w:val="51AC140E"/>
    <w:rsid w:val="51E9232A"/>
    <w:rsid w:val="525F7476"/>
    <w:rsid w:val="52845558"/>
    <w:rsid w:val="52C339A9"/>
    <w:rsid w:val="52DF5C7B"/>
    <w:rsid w:val="530205A7"/>
    <w:rsid w:val="530533EA"/>
    <w:rsid w:val="53457E60"/>
    <w:rsid w:val="53577358"/>
    <w:rsid w:val="53B70BFF"/>
    <w:rsid w:val="53E360AA"/>
    <w:rsid w:val="54B4149E"/>
    <w:rsid w:val="552A03F8"/>
    <w:rsid w:val="55A153F1"/>
    <w:rsid w:val="55DE055E"/>
    <w:rsid w:val="56A53ECF"/>
    <w:rsid w:val="57A813B8"/>
    <w:rsid w:val="58C3061C"/>
    <w:rsid w:val="5999486D"/>
    <w:rsid w:val="59CD7021"/>
    <w:rsid w:val="5A1E1571"/>
    <w:rsid w:val="5AC7692E"/>
    <w:rsid w:val="5ADF3ED5"/>
    <w:rsid w:val="5B2E3D72"/>
    <w:rsid w:val="5B373521"/>
    <w:rsid w:val="5C1A114D"/>
    <w:rsid w:val="5C265FE3"/>
    <w:rsid w:val="5C2F67A5"/>
    <w:rsid w:val="5CCB7A9F"/>
    <w:rsid w:val="5CD458E7"/>
    <w:rsid w:val="5CE97F76"/>
    <w:rsid w:val="5D3D0B22"/>
    <w:rsid w:val="5D414F22"/>
    <w:rsid w:val="5D5229FC"/>
    <w:rsid w:val="5D746BDA"/>
    <w:rsid w:val="5D864B92"/>
    <w:rsid w:val="5D911E81"/>
    <w:rsid w:val="5D93011C"/>
    <w:rsid w:val="5D9C7544"/>
    <w:rsid w:val="5D9C75F4"/>
    <w:rsid w:val="5E7967BF"/>
    <w:rsid w:val="5EB37F3D"/>
    <w:rsid w:val="5FA7112F"/>
    <w:rsid w:val="5FAF3AFE"/>
    <w:rsid w:val="5FEE5A96"/>
    <w:rsid w:val="608A5F01"/>
    <w:rsid w:val="60A531D7"/>
    <w:rsid w:val="60BD45BD"/>
    <w:rsid w:val="60C43830"/>
    <w:rsid w:val="613C6AF7"/>
    <w:rsid w:val="616109D2"/>
    <w:rsid w:val="61A22BF5"/>
    <w:rsid w:val="6241254A"/>
    <w:rsid w:val="62947A74"/>
    <w:rsid w:val="62C01994"/>
    <w:rsid w:val="62C1524E"/>
    <w:rsid w:val="62C3746A"/>
    <w:rsid w:val="63195C63"/>
    <w:rsid w:val="6363646D"/>
    <w:rsid w:val="63666A37"/>
    <w:rsid w:val="63F91820"/>
    <w:rsid w:val="640F0D4A"/>
    <w:rsid w:val="64A203BB"/>
    <w:rsid w:val="655974A0"/>
    <w:rsid w:val="664A076B"/>
    <w:rsid w:val="664B5A76"/>
    <w:rsid w:val="668D7E2F"/>
    <w:rsid w:val="67825B46"/>
    <w:rsid w:val="67C01B6E"/>
    <w:rsid w:val="67DB6ECF"/>
    <w:rsid w:val="68D74B12"/>
    <w:rsid w:val="69363C9C"/>
    <w:rsid w:val="696C0D3C"/>
    <w:rsid w:val="6B1E6EFC"/>
    <w:rsid w:val="6B3004C3"/>
    <w:rsid w:val="6B534CA5"/>
    <w:rsid w:val="6B6907FE"/>
    <w:rsid w:val="6BB35515"/>
    <w:rsid w:val="6C651D4D"/>
    <w:rsid w:val="6C924EC0"/>
    <w:rsid w:val="6CCC4E8A"/>
    <w:rsid w:val="6D5C72AD"/>
    <w:rsid w:val="6E522727"/>
    <w:rsid w:val="6E701BBE"/>
    <w:rsid w:val="6E720CB7"/>
    <w:rsid w:val="6F6C30E9"/>
    <w:rsid w:val="6F800D46"/>
    <w:rsid w:val="6FBB668C"/>
    <w:rsid w:val="6FCA2DF6"/>
    <w:rsid w:val="6FE426E6"/>
    <w:rsid w:val="705E4C31"/>
    <w:rsid w:val="706E5890"/>
    <w:rsid w:val="714B3BFB"/>
    <w:rsid w:val="71D05A44"/>
    <w:rsid w:val="71E83B20"/>
    <w:rsid w:val="71F95950"/>
    <w:rsid w:val="72FF4D99"/>
    <w:rsid w:val="744E1C46"/>
    <w:rsid w:val="746A1B99"/>
    <w:rsid w:val="746E01CD"/>
    <w:rsid w:val="74A50C07"/>
    <w:rsid w:val="74E45D0D"/>
    <w:rsid w:val="74F9320D"/>
    <w:rsid w:val="752B3379"/>
    <w:rsid w:val="754B2B5E"/>
    <w:rsid w:val="757F4944"/>
    <w:rsid w:val="75A73B93"/>
    <w:rsid w:val="75C34BE3"/>
    <w:rsid w:val="75EF6E0E"/>
    <w:rsid w:val="761824BB"/>
    <w:rsid w:val="76616074"/>
    <w:rsid w:val="76D11CFE"/>
    <w:rsid w:val="76D65147"/>
    <w:rsid w:val="77461FD7"/>
    <w:rsid w:val="77E4220D"/>
    <w:rsid w:val="78256734"/>
    <w:rsid w:val="78661288"/>
    <w:rsid w:val="78756F79"/>
    <w:rsid w:val="78E751C0"/>
    <w:rsid w:val="7A3D0FAD"/>
    <w:rsid w:val="7AC6294E"/>
    <w:rsid w:val="7B0605FC"/>
    <w:rsid w:val="7B9A2641"/>
    <w:rsid w:val="7C3849A3"/>
    <w:rsid w:val="7D3571CD"/>
    <w:rsid w:val="7F02149F"/>
    <w:rsid w:val="7FE5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annotation text"/>
    <w:basedOn w:val="1"/>
    <w:link w:val="46"/>
    <w:qFormat/>
    <w:uiPriority w:val="99"/>
    <w:pPr>
      <w:jc w:val="left"/>
    </w:pPr>
  </w:style>
  <w:style w:type="paragraph" w:styleId="6">
    <w:name w:val="Body Text"/>
    <w:basedOn w:val="1"/>
    <w:unhideWhenUsed/>
    <w:qFormat/>
    <w:uiPriority w:val="99"/>
    <w:pPr>
      <w:spacing w:after="120"/>
    </w:pPr>
    <w:rPr>
      <w:rFonts w:eastAsia="仿宋_GB2312"/>
    </w:rPr>
  </w:style>
  <w:style w:type="paragraph" w:styleId="7">
    <w:name w:val="endnote text"/>
    <w:basedOn w:val="1"/>
    <w:unhideWhenUsed/>
    <w:qFormat/>
    <w:uiPriority w:val="99"/>
    <w:pPr>
      <w:snapToGrid w:val="0"/>
    </w:pPr>
    <w:rPr>
      <w:rFonts w:ascii="Calibri" w:hAnsi="Calibri"/>
      <w:szCs w:val="24"/>
    </w:rPr>
  </w:style>
  <w:style w:type="paragraph" w:styleId="8">
    <w:name w:val="footer"/>
    <w:basedOn w:val="1"/>
    <w:qFormat/>
    <w:uiPriority w:val="99"/>
    <w:pPr>
      <w:tabs>
        <w:tab w:val="center" w:pos="4153"/>
        <w:tab w:val="right" w:pos="8306"/>
      </w:tabs>
      <w:snapToGrid w:val="0"/>
      <w:ind w:right="100" w:rightChars="100"/>
      <w:jc w:val="righ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index 9"/>
    <w:basedOn w:val="1"/>
    <w:next w:val="1"/>
    <w:qFormat/>
    <w:uiPriority w:val="0"/>
    <w:pPr>
      <w:widowControl/>
      <w:spacing w:after="200" w:line="276" w:lineRule="auto"/>
      <w:ind w:left="1890" w:hanging="210"/>
      <w:jc w:val="left"/>
    </w:pPr>
    <w:rPr>
      <w:rFonts w:ascii="Calibri" w:hAnsi="Calibri"/>
      <w:kern w:val="0"/>
      <w:sz w:val="20"/>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qFormat/>
    <w:uiPriority w:val="0"/>
    <w:rPr>
      <w:rFonts w:ascii="Times New Roman" w:hAnsi="Times New Roman" w:eastAsia="宋体"/>
      <w:sz w:val="18"/>
    </w:rPr>
  </w:style>
  <w:style w:type="character" w:styleId="17">
    <w:name w:val="Emphasis"/>
    <w:basedOn w:val="14"/>
    <w:qFormat/>
    <w:uiPriority w:val="0"/>
    <w:rPr>
      <w:i/>
    </w:rPr>
  </w:style>
  <w:style w:type="character" w:styleId="18">
    <w:name w:val="Hyperlink"/>
    <w:basedOn w:val="14"/>
    <w:qFormat/>
    <w:uiPriority w:val="0"/>
    <w:rPr>
      <w:color w:val="0000FF"/>
      <w:u w:val="single"/>
    </w:rPr>
  </w:style>
  <w:style w:type="paragraph" w:customStyle="1" w:styleId="19">
    <w:name w:val="一级条标题"/>
    <w:next w:val="20"/>
    <w:qFormat/>
    <w:uiPriority w:val="0"/>
    <w:pPr>
      <w:numPr>
        <w:ilvl w:val="2"/>
        <w:numId w:val="1"/>
      </w:numPr>
      <w:spacing w:line="360" w:lineRule="auto"/>
      <w:outlineLvl w:val="2"/>
    </w:pPr>
    <w:rPr>
      <w:rFonts w:ascii="Times New Roman" w:hAnsi="Times New Roman" w:eastAsia="黑体" w:cs="Times New Roman"/>
      <w:sz w:val="21"/>
      <w:lang w:val="en-US" w:eastAsia="zh-CN" w:bidi="ar-SA"/>
    </w:rPr>
  </w:style>
  <w:style w:type="paragraph" w:customStyle="1" w:styleId="2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章标题"/>
    <w:next w:val="20"/>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2">
    <w:name w:val="二级条标题"/>
    <w:basedOn w:val="19"/>
    <w:next w:val="20"/>
    <w:qFormat/>
    <w:uiPriority w:val="0"/>
    <w:pPr>
      <w:numPr>
        <w:ilvl w:val="3"/>
      </w:numPr>
      <w:outlineLvl w:val="3"/>
    </w:pPr>
  </w:style>
  <w:style w:type="character" w:customStyle="1" w:styleId="23">
    <w:name w:val="font01"/>
    <w:basedOn w:val="14"/>
    <w:qFormat/>
    <w:uiPriority w:val="0"/>
    <w:rPr>
      <w:rFonts w:hint="eastAsia" w:ascii="宋体" w:hAnsi="宋体" w:eastAsia="宋体" w:cs="宋体"/>
      <w:color w:val="000000"/>
      <w:sz w:val="20"/>
      <w:szCs w:val="20"/>
      <w:u w:val="none"/>
    </w:rPr>
  </w:style>
  <w:style w:type="character" w:customStyle="1" w:styleId="24">
    <w:name w:val="font61"/>
    <w:basedOn w:val="14"/>
    <w:qFormat/>
    <w:uiPriority w:val="0"/>
    <w:rPr>
      <w:rFonts w:hint="default" w:ascii="Times New Roman" w:hAnsi="Times New Roman" w:cs="Times New Roman"/>
      <w:color w:val="000000"/>
      <w:sz w:val="20"/>
      <w:szCs w:val="20"/>
      <w:u w:val="none"/>
    </w:rPr>
  </w:style>
  <w:style w:type="character" w:customStyle="1" w:styleId="25">
    <w:name w:val="Body text|2 + Times New Roman"/>
    <w:basedOn w:val="26"/>
    <w:unhideWhenUsed/>
    <w:qFormat/>
    <w:uiPriority w:val="0"/>
    <w:rPr>
      <w:rFonts w:ascii="Times New Roman" w:hAnsi="Times New Roman" w:eastAsia="Times New Roman" w:cs="Times New Roman"/>
      <w:color w:val="000000"/>
      <w:spacing w:val="10"/>
      <w:w w:val="100"/>
      <w:position w:val="0"/>
      <w:sz w:val="20"/>
      <w:szCs w:val="20"/>
      <w:u w:val="none"/>
      <w:lang w:val="en-US" w:eastAsia="en-US" w:bidi="en-US"/>
    </w:rPr>
  </w:style>
  <w:style w:type="character" w:customStyle="1" w:styleId="26">
    <w:name w:val="Body text|2_"/>
    <w:basedOn w:val="14"/>
    <w:link w:val="27"/>
    <w:qFormat/>
    <w:uiPriority w:val="0"/>
    <w:rPr>
      <w:rFonts w:ascii="PMingLiU" w:hAnsi="PMingLiU" w:eastAsia="PMingLiU" w:cs="PMingLiU"/>
      <w:spacing w:val="20"/>
      <w:sz w:val="18"/>
      <w:szCs w:val="18"/>
      <w:u w:val="none"/>
    </w:rPr>
  </w:style>
  <w:style w:type="paragraph" w:customStyle="1" w:styleId="27">
    <w:name w:val="Body text|2"/>
    <w:basedOn w:val="1"/>
    <w:link w:val="26"/>
    <w:qFormat/>
    <w:uiPriority w:val="0"/>
    <w:pPr>
      <w:shd w:val="clear" w:color="auto" w:fill="FFFFFF"/>
      <w:spacing w:after="3760" w:line="222" w:lineRule="exact"/>
      <w:jc w:val="right"/>
    </w:pPr>
    <w:rPr>
      <w:rFonts w:ascii="PMingLiU" w:hAnsi="PMingLiU" w:eastAsia="PMingLiU" w:cs="PMingLiU"/>
      <w:spacing w:val="20"/>
      <w:sz w:val="18"/>
      <w:szCs w:val="18"/>
    </w:rPr>
  </w:style>
  <w:style w:type="character" w:customStyle="1" w:styleId="28">
    <w:name w:val="font11"/>
    <w:basedOn w:val="14"/>
    <w:qFormat/>
    <w:uiPriority w:val="0"/>
    <w:rPr>
      <w:rFonts w:hint="default" w:ascii="Times New Roman" w:hAnsi="Times New Roman" w:cs="Times New Roman"/>
      <w:color w:val="000000"/>
      <w:sz w:val="20"/>
      <w:szCs w:val="20"/>
      <w:u w:val="none"/>
    </w:rPr>
  </w:style>
  <w:style w:type="character" w:customStyle="1" w:styleId="29">
    <w:name w:val="font51"/>
    <w:basedOn w:val="14"/>
    <w:qFormat/>
    <w:uiPriority w:val="0"/>
    <w:rPr>
      <w:rFonts w:hint="eastAsia" w:ascii="宋体" w:hAnsi="宋体" w:eastAsia="宋体" w:cs="宋体"/>
      <w:color w:val="000000"/>
      <w:sz w:val="20"/>
      <w:szCs w:val="20"/>
      <w:u w:val="none"/>
    </w:rPr>
  </w:style>
  <w:style w:type="character" w:customStyle="1" w:styleId="30">
    <w:name w:val="font41"/>
    <w:basedOn w:val="14"/>
    <w:qFormat/>
    <w:uiPriority w:val="0"/>
    <w:rPr>
      <w:rFonts w:hint="eastAsia" w:ascii="宋体" w:hAnsi="宋体" w:eastAsia="宋体" w:cs="宋体"/>
      <w:color w:val="000000"/>
      <w:sz w:val="20"/>
      <w:szCs w:val="20"/>
      <w:u w:val="none"/>
    </w:rPr>
  </w:style>
  <w:style w:type="paragraph" w:styleId="31">
    <w:name w:val="List Paragraph"/>
    <w:basedOn w:val="1"/>
    <w:qFormat/>
    <w:uiPriority w:val="34"/>
    <w:pPr>
      <w:numPr>
        <w:ilvl w:val="0"/>
        <w:numId w:val="2"/>
      </w:numPr>
      <w:spacing w:before="156" w:beforeLines="50" w:line="360" w:lineRule="auto"/>
      <w:jc w:val="center"/>
    </w:pPr>
    <w:rPr>
      <w:rFonts w:ascii="黑体" w:hAnsi="黑体" w:eastAsia="黑体"/>
      <w:szCs w:val="21"/>
    </w:rPr>
  </w:style>
  <w:style w:type="paragraph" w:customStyle="1" w:styleId="32">
    <w:name w:val="标准书眉_偶数页"/>
    <w:basedOn w:val="33"/>
    <w:next w:val="1"/>
    <w:qFormat/>
    <w:uiPriority w:val="0"/>
    <w:pPr>
      <w:tabs>
        <w:tab w:val="center" w:pos="4154"/>
        <w:tab w:val="right" w:pos="8306"/>
      </w:tabs>
      <w:jc w:val="left"/>
    </w:pPr>
  </w:style>
  <w:style w:type="paragraph" w:customStyle="1" w:styleId="3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4">
    <w:name w:val="标准书眉一"/>
    <w:qFormat/>
    <w:uiPriority w:val="0"/>
    <w:pPr>
      <w:jc w:val="both"/>
    </w:pPr>
    <w:rPr>
      <w:rFonts w:ascii="Times New Roman" w:hAnsi="Times New Roman" w:eastAsia="宋体" w:cs="Times New Roman"/>
      <w:lang w:val="en-US" w:eastAsia="zh-CN" w:bidi="ar-SA"/>
    </w:rPr>
  </w:style>
  <w:style w:type="paragraph" w:customStyle="1" w:styleId="35">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6">
    <w:name w:val="实施日期"/>
    <w:basedOn w:val="37"/>
    <w:qFormat/>
    <w:uiPriority w:val="0"/>
    <w:pPr>
      <w:jc w:val="right"/>
    </w:pPr>
  </w:style>
  <w:style w:type="paragraph" w:customStyle="1" w:styleId="37">
    <w:name w:val="发布日期"/>
    <w:qFormat/>
    <w:uiPriority w:val="0"/>
    <w:rPr>
      <w:rFonts w:ascii="Times New Roman" w:hAnsi="Times New Roman" w:eastAsia="黑体" w:cs="Times New Roman"/>
      <w:sz w:val="28"/>
      <w:lang w:val="en-US" w:eastAsia="zh-CN" w:bidi="ar-SA"/>
    </w:rPr>
  </w:style>
  <w:style w:type="paragraph" w:customStyle="1" w:styleId="38">
    <w:name w:val="目次、标准名称标题"/>
    <w:basedOn w:val="35"/>
    <w:next w:val="20"/>
    <w:qFormat/>
    <w:uiPriority w:val="99"/>
    <w:pPr>
      <w:spacing w:line="460" w:lineRule="exact"/>
    </w:pPr>
  </w:style>
  <w:style w:type="paragraph" w:customStyle="1" w:styleId="39">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0">
    <w:name w:val="封面正文"/>
    <w:qFormat/>
    <w:uiPriority w:val="0"/>
    <w:pPr>
      <w:jc w:val="both"/>
    </w:pPr>
    <w:rPr>
      <w:rFonts w:ascii="Times New Roman" w:hAnsi="Times New Roman" w:eastAsia="宋体" w:cs="Times New Roman"/>
      <w:lang w:val="en-US" w:eastAsia="zh-CN" w:bidi="ar-SA"/>
    </w:rPr>
  </w:style>
  <w:style w:type="paragraph" w:customStyle="1" w:styleId="4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42">
    <w:name w:val="封面标准号1"/>
    <w:qFormat/>
    <w:uiPriority w:val="0"/>
    <w:pPr>
      <w:widowControl w:val="0"/>
      <w:kinsoku w:val="0"/>
      <w:overflowPunct w:val="0"/>
      <w:autoSpaceDE w:val="0"/>
      <w:autoSpaceDN w:val="0"/>
      <w:spacing w:before="100" w:beforeAutospacing="1" w:after="100" w:afterAutospacing="1"/>
      <w:jc w:val="right"/>
      <w:textAlignment w:val="center"/>
    </w:pPr>
    <w:rPr>
      <w:rFonts w:ascii="Times New Roman" w:hAnsi="Times New Roman" w:eastAsia="宋体" w:cs="Times New Roman"/>
      <w:sz w:val="28"/>
      <w:lang w:val="en-US" w:eastAsia="zh-CN" w:bidi="ar-SA"/>
    </w:rPr>
  </w:style>
  <w:style w:type="paragraph" w:customStyle="1" w:styleId="43">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44">
    <w:name w:val="font21"/>
    <w:basedOn w:val="14"/>
    <w:qFormat/>
    <w:uiPriority w:val="0"/>
    <w:rPr>
      <w:rFonts w:hint="default" w:ascii="Times New Roman" w:hAnsi="Times New Roman" w:cs="Times New Roman"/>
      <w:b/>
      <w:bCs/>
      <w:color w:val="FF0000"/>
      <w:sz w:val="18"/>
      <w:szCs w:val="18"/>
      <w:u w:val="none"/>
    </w:rPr>
  </w:style>
  <w:style w:type="character" w:customStyle="1" w:styleId="45">
    <w:name w:val="font31"/>
    <w:basedOn w:val="14"/>
    <w:qFormat/>
    <w:uiPriority w:val="0"/>
    <w:rPr>
      <w:rFonts w:hint="eastAsia" w:ascii="宋体" w:hAnsi="宋体" w:eastAsia="宋体" w:cs="宋体"/>
      <w:b/>
      <w:bCs/>
      <w:color w:val="FF0000"/>
      <w:sz w:val="18"/>
      <w:szCs w:val="18"/>
      <w:u w:val="none"/>
    </w:rPr>
  </w:style>
  <w:style w:type="character" w:customStyle="1" w:styleId="46">
    <w:name w:val="批注文字 字符"/>
    <w:link w:val="5"/>
    <w:qFormat/>
    <w:uiPriority w:val="99"/>
    <w:rPr>
      <w:kern w:val="2"/>
      <w:sz w:val="21"/>
    </w:rPr>
  </w:style>
  <w:style w:type="table" w:customStyle="1" w:styleId="47">
    <w:name w:val="网格型1"/>
    <w:basedOn w:val="12"/>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8">
    <w:name w:val="NormalCharacter"/>
    <w:basedOn w:val="14"/>
    <w:qFormat/>
    <w:uiPriority w:val="0"/>
  </w:style>
  <w:style w:type="character" w:customStyle="1" w:styleId="49">
    <w:name w:val="EmailStyle141"/>
    <w:qFormat/>
    <w:uiPriority w:val="0"/>
    <w:rPr>
      <w:rFonts w:ascii="Arial" w:hAnsi="Arial" w:eastAsia="宋体" w:cs="Arial"/>
      <w:color w:val="auto"/>
      <w:sz w:val="20"/>
    </w:rPr>
  </w:style>
  <w:style w:type="character" w:customStyle="1" w:styleId="50">
    <w:name w:val="font81"/>
    <w:basedOn w:val="14"/>
    <w:uiPriority w:val="0"/>
    <w:rPr>
      <w:rFonts w:hint="default" w:ascii="Times New Roman" w:hAnsi="Times New Roman" w:cs="Times New Roman"/>
      <w:color w:val="000000"/>
      <w:sz w:val="28"/>
      <w:szCs w:val="28"/>
      <w:u w:val="none"/>
    </w:rPr>
  </w:style>
  <w:style w:type="character" w:customStyle="1" w:styleId="51">
    <w:name w:val="font171"/>
    <w:basedOn w:val="14"/>
    <w:uiPriority w:val="0"/>
    <w:rPr>
      <w:rFonts w:hint="default" w:ascii="Times New Roman" w:hAnsi="Times New Roman" w:cs="Times New Roman"/>
      <w:b/>
      <w:bCs/>
      <w:color w:val="000000"/>
      <w:sz w:val="28"/>
      <w:szCs w:val="28"/>
      <w:u w:val="none"/>
      <w:vertAlign w:val="superscript"/>
    </w:rPr>
  </w:style>
  <w:style w:type="character" w:customStyle="1" w:styleId="52">
    <w:name w:val="font91"/>
    <w:basedOn w:val="14"/>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1573</Words>
  <Characters>1759</Characters>
  <Lines>101</Lines>
  <Paragraphs>28</Paragraphs>
  <TotalTime>19</TotalTime>
  <ScaleCrop>false</ScaleCrop>
  <LinksUpToDate>false</LinksUpToDate>
  <CharactersWithSpaces>1768</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2024-01-11T03:10:00Z</dcterms:created>
  <dc:creator>pc</dc:creator>
  <cp:lastModifiedBy>wangyan66</cp:lastModifiedBy>
  <cp:lastPrinted>2023-02-02T02:53:00Z</cp:lastPrinted>
  <dcterms:modified xsi:type="dcterms:W3CDTF">2025-04-22T02:24:54Z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BD381A0983944F87AAD419AD636DCE17_13</vt:lpwstr>
  </property>
  <property fmtid="{D5CDD505-2E9C-101B-9397-08002B2CF9AE}" pid="4" name="KSOTemplateDocerSaveRecord">
    <vt:lpwstr>eyJoZGlkIjoiYWNlMGQzOGFhOWYyMmZmNTg4MWNmMjZiMmY0NzI2YTUiLCJ1c2VySWQiOiI0MzE0Njc3NDYifQ==</vt:lpwstr>
  </property>
</Properties>
</file>